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30EF" w14:textId="77777777" w:rsidR="00450CCF" w:rsidRPr="00741BA9" w:rsidRDefault="004C19A1" w:rsidP="004C19A1">
      <w:pPr>
        <w:jc w:val="center"/>
        <w:rPr>
          <w:rFonts w:ascii="Arial" w:hAnsi="Arial" w:cs="Arial"/>
          <w:b/>
        </w:rPr>
      </w:pPr>
      <w:r w:rsidRPr="00741BA9">
        <w:rPr>
          <w:rFonts w:ascii="Arial" w:hAnsi="Arial" w:cs="Arial"/>
          <w:b/>
        </w:rPr>
        <w:t>What to do after obtaining a crystallization hit from the screen?</w:t>
      </w:r>
    </w:p>
    <w:p w14:paraId="4C5708AE" w14:textId="77777777" w:rsidR="004C19A1" w:rsidRDefault="004C19A1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1BA9">
        <w:rPr>
          <w:rFonts w:ascii="Arial" w:hAnsi="Arial" w:cs="Arial"/>
          <w:b/>
          <w:u w:val="single"/>
        </w:rPr>
        <w:t>Immediately reset the condition</w:t>
      </w:r>
      <w:r w:rsidRPr="00741BA9">
        <w:rPr>
          <w:rFonts w:ascii="Arial" w:hAnsi="Arial" w:cs="Arial"/>
        </w:rPr>
        <w:t xml:space="preserve"> that yielded the crystals using commercial screens. Recommended to set up two wells (400 </w:t>
      </w:r>
      <w:proofErr w:type="spellStart"/>
      <w:r w:rsidRPr="00741BA9">
        <w:rPr>
          <w:rFonts w:ascii="Arial" w:hAnsi="Arial" w:cs="Arial"/>
        </w:rPr>
        <w:t>uL</w:t>
      </w:r>
      <w:proofErr w:type="spellEnd"/>
      <w:r w:rsidRPr="00741BA9">
        <w:rPr>
          <w:rFonts w:ascii="Arial" w:hAnsi="Arial" w:cs="Arial"/>
        </w:rPr>
        <w:t xml:space="preserve"> each) with two drops of the DNA. That is why it is always good to have extra DNA when you prepare your sample for screening.</w:t>
      </w:r>
    </w:p>
    <w:p w14:paraId="41F4DC78" w14:textId="77777777" w:rsidR="00741BA9" w:rsidRPr="00741BA9" w:rsidRDefault="00741BA9" w:rsidP="00741BA9">
      <w:pPr>
        <w:pStyle w:val="ListParagraph"/>
        <w:rPr>
          <w:rFonts w:ascii="Arial" w:hAnsi="Arial" w:cs="Arial"/>
        </w:rPr>
      </w:pPr>
    </w:p>
    <w:p w14:paraId="69BAB897" w14:textId="77777777" w:rsidR="004C19A1" w:rsidRPr="00741BA9" w:rsidRDefault="004C19A1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1BA9">
        <w:rPr>
          <w:rFonts w:ascii="Arial" w:hAnsi="Arial" w:cs="Arial"/>
          <w:b/>
          <w:u w:val="single"/>
        </w:rPr>
        <w:t>Remake the condition that produce crystal by hand</w:t>
      </w:r>
      <w:r w:rsidRPr="00741BA9">
        <w:rPr>
          <w:rFonts w:ascii="Arial" w:hAnsi="Arial" w:cs="Arial"/>
        </w:rPr>
        <w:t xml:space="preserve">. Suggested amount, 10 </w:t>
      </w:r>
      <w:proofErr w:type="spellStart"/>
      <w:r w:rsidRPr="00741BA9">
        <w:rPr>
          <w:rFonts w:ascii="Arial" w:hAnsi="Arial" w:cs="Arial"/>
        </w:rPr>
        <w:t>mL.</w:t>
      </w:r>
      <w:proofErr w:type="spellEnd"/>
      <w:r w:rsidRPr="00741BA9">
        <w:rPr>
          <w:rFonts w:ascii="Arial" w:hAnsi="Arial" w:cs="Arial"/>
        </w:rPr>
        <w:t xml:space="preserve"> Follow the protocol: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2"/>
        <w:gridCol w:w="1809"/>
        <w:gridCol w:w="1809"/>
        <w:gridCol w:w="1660"/>
      </w:tblGrid>
      <w:tr w:rsidR="004C19A1" w:rsidRPr="00741BA9" w14:paraId="2E9DB5E2" w14:textId="77777777" w:rsidTr="004C19A1">
        <w:tc>
          <w:tcPr>
            <w:tcW w:w="1732" w:type="dxa"/>
          </w:tcPr>
          <w:p w14:paraId="3B486042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Reagent</w:t>
            </w:r>
          </w:p>
        </w:tc>
        <w:tc>
          <w:tcPr>
            <w:tcW w:w="1809" w:type="dxa"/>
          </w:tcPr>
          <w:p w14:paraId="62A190ED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Stock concentration</w:t>
            </w:r>
          </w:p>
        </w:tc>
        <w:tc>
          <w:tcPr>
            <w:tcW w:w="1809" w:type="dxa"/>
          </w:tcPr>
          <w:p w14:paraId="6B41C2D7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Desired concentration</w:t>
            </w:r>
          </w:p>
        </w:tc>
        <w:tc>
          <w:tcPr>
            <w:tcW w:w="1660" w:type="dxa"/>
          </w:tcPr>
          <w:p w14:paraId="54DC9DC7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V, mL</w:t>
            </w:r>
          </w:p>
        </w:tc>
      </w:tr>
      <w:tr w:rsidR="004C19A1" w:rsidRPr="00741BA9" w14:paraId="57C58461" w14:textId="77777777" w:rsidTr="004C19A1">
        <w:tc>
          <w:tcPr>
            <w:tcW w:w="1732" w:type="dxa"/>
          </w:tcPr>
          <w:p w14:paraId="735769BA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Reagent 1</w:t>
            </w:r>
          </w:p>
        </w:tc>
        <w:tc>
          <w:tcPr>
            <w:tcW w:w="1809" w:type="dxa"/>
          </w:tcPr>
          <w:p w14:paraId="7B800179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78C5775D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A812717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19A1" w:rsidRPr="00741BA9" w14:paraId="1EFE05D4" w14:textId="77777777" w:rsidTr="004C19A1">
        <w:tc>
          <w:tcPr>
            <w:tcW w:w="1732" w:type="dxa"/>
          </w:tcPr>
          <w:p w14:paraId="4F747413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Reagent 2</w:t>
            </w:r>
          </w:p>
        </w:tc>
        <w:tc>
          <w:tcPr>
            <w:tcW w:w="1809" w:type="dxa"/>
          </w:tcPr>
          <w:p w14:paraId="4195D9E3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2CD4C344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953CD75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19A1" w:rsidRPr="00741BA9" w14:paraId="5104842A" w14:textId="77777777" w:rsidTr="004C19A1">
        <w:tc>
          <w:tcPr>
            <w:tcW w:w="1732" w:type="dxa"/>
          </w:tcPr>
          <w:p w14:paraId="12326777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Reagent 3</w:t>
            </w:r>
          </w:p>
        </w:tc>
        <w:tc>
          <w:tcPr>
            <w:tcW w:w="1809" w:type="dxa"/>
          </w:tcPr>
          <w:p w14:paraId="32B804B7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5899BB11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1CAA6C2C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19A1" w:rsidRPr="00741BA9" w14:paraId="48A8855D" w14:textId="77777777" w:rsidTr="004C19A1">
        <w:tc>
          <w:tcPr>
            <w:tcW w:w="1732" w:type="dxa"/>
          </w:tcPr>
          <w:p w14:paraId="354F113B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Water</w:t>
            </w:r>
          </w:p>
        </w:tc>
        <w:tc>
          <w:tcPr>
            <w:tcW w:w="1809" w:type="dxa"/>
          </w:tcPr>
          <w:p w14:paraId="3554D356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123C47FC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2DA25BCD" w14:textId="77777777" w:rsidR="004C19A1" w:rsidRPr="00741BA9" w:rsidRDefault="004C19A1" w:rsidP="004C19A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4111BFA" w14:textId="77777777" w:rsidR="004C19A1" w:rsidRPr="00741BA9" w:rsidRDefault="004C19A1" w:rsidP="004C19A1">
      <w:pPr>
        <w:pStyle w:val="ListParagraph"/>
        <w:rPr>
          <w:rFonts w:ascii="Arial" w:hAnsi="Arial" w:cs="Arial"/>
        </w:rPr>
      </w:pPr>
    </w:p>
    <w:p w14:paraId="1F6AFB79" w14:textId="77777777" w:rsidR="004C19A1" w:rsidRPr="00741BA9" w:rsidRDefault="004C19A1" w:rsidP="004C19A1">
      <w:pPr>
        <w:pStyle w:val="ListParagraph"/>
        <w:rPr>
          <w:rFonts w:ascii="Arial" w:hAnsi="Arial" w:cs="Arial"/>
        </w:rPr>
      </w:pPr>
      <w:r w:rsidRPr="00741BA9">
        <w:rPr>
          <w:rFonts w:ascii="Arial" w:hAnsi="Arial" w:cs="Arial"/>
          <w:i/>
        </w:rPr>
        <w:t>Example:</w:t>
      </w:r>
      <w:r w:rsidRPr="00741BA9">
        <w:rPr>
          <w:rFonts w:ascii="Arial" w:hAnsi="Arial" w:cs="Arial"/>
        </w:rPr>
        <w:t xml:space="preserve"> Remaking Natrix-1: 0.01 M Magnesium chloride hexahydrate, 0.05 M MES monohydrate pH 5.6, 1.8 M Lithium sulfate monohydrate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1890"/>
        <w:gridCol w:w="1620"/>
        <w:gridCol w:w="1170"/>
      </w:tblGrid>
      <w:tr w:rsidR="004C19A1" w:rsidRPr="00741BA9" w14:paraId="73B90498" w14:textId="77777777" w:rsidTr="0024017D">
        <w:tc>
          <w:tcPr>
            <w:tcW w:w="3505" w:type="dxa"/>
          </w:tcPr>
          <w:p w14:paraId="663E0687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Reagent</w:t>
            </w:r>
          </w:p>
        </w:tc>
        <w:tc>
          <w:tcPr>
            <w:tcW w:w="1890" w:type="dxa"/>
          </w:tcPr>
          <w:p w14:paraId="748D645F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Stock concentration</w:t>
            </w:r>
          </w:p>
        </w:tc>
        <w:tc>
          <w:tcPr>
            <w:tcW w:w="1620" w:type="dxa"/>
          </w:tcPr>
          <w:p w14:paraId="6F508FF6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Desired concentration</w:t>
            </w:r>
          </w:p>
        </w:tc>
        <w:tc>
          <w:tcPr>
            <w:tcW w:w="1170" w:type="dxa"/>
          </w:tcPr>
          <w:p w14:paraId="00AFCF86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V</w:t>
            </w:r>
          </w:p>
        </w:tc>
      </w:tr>
      <w:tr w:rsidR="004C19A1" w:rsidRPr="00741BA9" w14:paraId="537B0679" w14:textId="77777777" w:rsidTr="0024017D">
        <w:tc>
          <w:tcPr>
            <w:tcW w:w="3505" w:type="dxa"/>
          </w:tcPr>
          <w:p w14:paraId="1BF22EE9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0.01 M Magnesium chloride hexahydrate</w:t>
            </w:r>
          </w:p>
        </w:tc>
        <w:tc>
          <w:tcPr>
            <w:tcW w:w="1890" w:type="dxa"/>
          </w:tcPr>
          <w:p w14:paraId="34FE710B" w14:textId="77777777" w:rsidR="004C19A1" w:rsidRPr="00741BA9" w:rsidRDefault="0024017D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C19A1" w:rsidRPr="00741BA9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1620" w:type="dxa"/>
          </w:tcPr>
          <w:p w14:paraId="20438904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0.01 M</w:t>
            </w:r>
          </w:p>
        </w:tc>
        <w:tc>
          <w:tcPr>
            <w:tcW w:w="1170" w:type="dxa"/>
          </w:tcPr>
          <w:p w14:paraId="59EC2602" w14:textId="77777777" w:rsidR="004C19A1" w:rsidRPr="00741BA9" w:rsidRDefault="0024017D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4C19A1" w:rsidRPr="00741BA9">
              <w:rPr>
                <w:rFonts w:ascii="Arial" w:hAnsi="Arial" w:cs="Arial"/>
              </w:rPr>
              <w:t xml:space="preserve"> </w:t>
            </w:r>
            <w:proofErr w:type="spellStart"/>
            <w:r w:rsidR="004C19A1" w:rsidRPr="00741BA9">
              <w:rPr>
                <w:rFonts w:ascii="Arial" w:hAnsi="Arial" w:cs="Arial"/>
              </w:rPr>
              <w:t>uL</w:t>
            </w:r>
            <w:proofErr w:type="spellEnd"/>
          </w:p>
        </w:tc>
      </w:tr>
      <w:tr w:rsidR="004C19A1" w:rsidRPr="00741BA9" w14:paraId="14D15209" w14:textId="77777777" w:rsidTr="0024017D">
        <w:tc>
          <w:tcPr>
            <w:tcW w:w="3505" w:type="dxa"/>
          </w:tcPr>
          <w:p w14:paraId="31B43171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0.05 M MES monohydrate pH 5.6</w:t>
            </w:r>
          </w:p>
        </w:tc>
        <w:tc>
          <w:tcPr>
            <w:tcW w:w="1890" w:type="dxa"/>
          </w:tcPr>
          <w:p w14:paraId="68D97B96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1 M</w:t>
            </w:r>
          </w:p>
        </w:tc>
        <w:tc>
          <w:tcPr>
            <w:tcW w:w="1620" w:type="dxa"/>
          </w:tcPr>
          <w:p w14:paraId="7A672AE4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0.05 M</w:t>
            </w:r>
          </w:p>
        </w:tc>
        <w:tc>
          <w:tcPr>
            <w:tcW w:w="1170" w:type="dxa"/>
          </w:tcPr>
          <w:p w14:paraId="62E56144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 xml:space="preserve">500 </w:t>
            </w:r>
            <w:proofErr w:type="spellStart"/>
            <w:r w:rsidRPr="00741BA9">
              <w:rPr>
                <w:rFonts w:ascii="Arial" w:hAnsi="Arial" w:cs="Arial"/>
              </w:rPr>
              <w:t>uL</w:t>
            </w:r>
            <w:proofErr w:type="spellEnd"/>
          </w:p>
        </w:tc>
      </w:tr>
      <w:tr w:rsidR="004C19A1" w:rsidRPr="00741BA9" w14:paraId="570BDB97" w14:textId="77777777" w:rsidTr="0024017D">
        <w:tc>
          <w:tcPr>
            <w:tcW w:w="3505" w:type="dxa"/>
          </w:tcPr>
          <w:p w14:paraId="3D44DF10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1.8 M Lithium sulfate monohydrate</w:t>
            </w:r>
          </w:p>
        </w:tc>
        <w:tc>
          <w:tcPr>
            <w:tcW w:w="1890" w:type="dxa"/>
          </w:tcPr>
          <w:p w14:paraId="162E40B5" w14:textId="77777777" w:rsidR="004C19A1" w:rsidRPr="00741BA9" w:rsidRDefault="0024017D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4C19A1" w:rsidRPr="00741BA9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1620" w:type="dxa"/>
          </w:tcPr>
          <w:p w14:paraId="077515B5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1.8 M</w:t>
            </w:r>
          </w:p>
        </w:tc>
        <w:tc>
          <w:tcPr>
            <w:tcW w:w="1170" w:type="dxa"/>
          </w:tcPr>
          <w:p w14:paraId="31CE6BD7" w14:textId="77777777" w:rsidR="004C19A1" w:rsidRPr="00741BA9" w:rsidRDefault="0024017D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4C19A1" w:rsidRPr="00741BA9">
              <w:rPr>
                <w:rFonts w:ascii="Arial" w:hAnsi="Arial" w:cs="Arial"/>
              </w:rPr>
              <w:t xml:space="preserve"> mL</w:t>
            </w:r>
          </w:p>
        </w:tc>
      </w:tr>
      <w:tr w:rsidR="004C19A1" w:rsidRPr="00741BA9" w14:paraId="54FF40B5" w14:textId="77777777" w:rsidTr="0024017D">
        <w:tc>
          <w:tcPr>
            <w:tcW w:w="3505" w:type="dxa"/>
          </w:tcPr>
          <w:p w14:paraId="7CF40A71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Water</w:t>
            </w:r>
          </w:p>
        </w:tc>
        <w:tc>
          <w:tcPr>
            <w:tcW w:w="1890" w:type="dxa"/>
          </w:tcPr>
          <w:p w14:paraId="3941820B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</w:tcPr>
          <w:p w14:paraId="2126B68A" w14:textId="77777777" w:rsidR="004C19A1" w:rsidRPr="00741BA9" w:rsidRDefault="004C19A1" w:rsidP="00450964">
            <w:pPr>
              <w:pStyle w:val="ListParagraph"/>
              <w:ind w:left="0"/>
              <w:rPr>
                <w:rFonts w:ascii="Arial" w:hAnsi="Arial" w:cs="Arial"/>
              </w:rPr>
            </w:pPr>
            <w:r w:rsidRPr="00741BA9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</w:tcPr>
          <w:p w14:paraId="65359E1A" w14:textId="77777777" w:rsidR="004C19A1" w:rsidRPr="00741BA9" w:rsidRDefault="0024017D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2.275</w:t>
            </w:r>
            <w:r w:rsidR="004C19A1" w:rsidRPr="00741BA9">
              <w:rPr>
                <w:rFonts w:ascii="Arial" w:hAnsi="Arial" w:cs="Arial"/>
              </w:rPr>
              <w:t xml:space="preserve"> mL</w:t>
            </w:r>
          </w:p>
        </w:tc>
      </w:tr>
    </w:tbl>
    <w:p w14:paraId="5F6243DB" w14:textId="77777777" w:rsidR="004C19A1" w:rsidRPr="00741BA9" w:rsidRDefault="004C19A1" w:rsidP="004C19A1">
      <w:pPr>
        <w:pStyle w:val="ListParagraph"/>
        <w:rPr>
          <w:rFonts w:ascii="Arial" w:hAnsi="Arial" w:cs="Arial"/>
        </w:rPr>
      </w:pPr>
    </w:p>
    <w:p w14:paraId="57D21C2C" w14:textId="77777777" w:rsidR="00741BA9" w:rsidRDefault="004C19A1" w:rsidP="004C19A1">
      <w:pPr>
        <w:pStyle w:val="ListParagraph"/>
        <w:rPr>
          <w:rFonts w:ascii="Arial" w:hAnsi="Arial" w:cs="Arial"/>
        </w:rPr>
      </w:pPr>
      <w:r w:rsidRPr="00741BA9">
        <w:rPr>
          <w:rFonts w:ascii="Arial" w:hAnsi="Arial" w:cs="Arial"/>
          <w:b/>
        </w:rPr>
        <w:t>Important:</w:t>
      </w:r>
      <w:r w:rsidRPr="00741BA9">
        <w:rPr>
          <w:rFonts w:ascii="Arial" w:hAnsi="Arial" w:cs="Arial"/>
        </w:rPr>
        <w:t xml:space="preserve"> when you assemble the condition, you need to filter it before proceeding.</w:t>
      </w:r>
    </w:p>
    <w:p w14:paraId="328FA83D" w14:textId="77777777" w:rsidR="004C19A1" w:rsidRDefault="00741BA9" w:rsidP="004C19A1">
      <w:pPr>
        <w:pStyle w:val="ListParagraph"/>
        <w:rPr>
          <w:rFonts w:ascii="Arial" w:hAnsi="Arial" w:cs="Arial"/>
        </w:rPr>
      </w:pPr>
      <w:r w:rsidRPr="00741BA9">
        <w:rPr>
          <w:rFonts w:ascii="Arial" w:hAnsi="Arial" w:cs="Arial"/>
        </w:rPr>
        <w:t>Set up at least 10 wells/two drops per well with this hand made condition.</w:t>
      </w:r>
      <w:r w:rsidR="004C19A1" w:rsidRPr="00741BA9">
        <w:rPr>
          <w:rFonts w:ascii="Arial" w:hAnsi="Arial" w:cs="Arial"/>
        </w:rPr>
        <w:t xml:space="preserve"> </w:t>
      </w:r>
    </w:p>
    <w:p w14:paraId="4C360759" w14:textId="77777777" w:rsidR="00741BA9" w:rsidRPr="00741BA9" w:rsidRDefault="00741BA9" w:rsidP="004C19A1">
      <w:pPr>
        <w:pStyle w:val="ListParagraph"/>
        <w:rPr>
          <w:rFonts w:ascii="Arial" w:hAnsi="Arial" w:cs="Arial"/>
        </w:rPr>
      </w:pPr>
    </w:p>
    <w:p w14:paraId="4FC4BD58" w14:textId="77777777" w:rsidR="00741BA9" w:rsidRDefault="00741BA9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Ideally you would want to wait to see if your conditions grow crystals. </w:t>
      </w:r>
    </w:p>
    <w:p w14:paraId="49A0B4E8" w14:textId="77777777" w:rsidR="004C19A1" w:rsidRDefault="00741BA9" w:rsidP="00741B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get crystals everywhere – proceed to optimization step (4). </w:t>
      </w:r>
    </w:p>
    <w:p w14:paraId="3548FD40" w14:textId="77777777" w:rsidR="00741BA9" w:rsidRDefault="00741BA9" w:rsidP="00741B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only get crystals from the commercial screen but not from the handmade screen – recheck your calculations, recheck your stocks (and maybe make some new ones) and remake the condition. Reset the crystals and hopefully they will grow this time. If a few attempts do not produce </w:t>
      </w:r>
      <w:proofErr w:type="gramStart"/>
      <w:r>
        <w:rPr>
          <w:rFonts w:ascii="Arial" w:hAnsi="Arial" w:cs="Arial"/>
        </w:rPr>
        <w:t>crystals</w:t>
      </w:r>
      <w:proofErr w:type="gramEnd"/>
      <w:r>
        <w:rPr>
          <w:rFonts w:ascii="Arial" w:hAnsi="Arial" w:cs="Arial"/>
        </w:rPr>
        <w:t xml:space="preserve"> you have two choices – set up more crystals with Mosquito or ask Liliya to order a 100 mL bottle of the condition you need and set crystals by hand. This would typically cost $180.</w:t>
      </w:r>
    </w:p>
    <w:p w14:paraId="4C285957" w14:textId="77777777" w:rsidR="00741BA9" w:rsidRPr="00741BA9" w:rsidRDefault="00741BA9" w:rsidP="00741B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do not get crystals at all – give it more time. And if you still do not see crystals – try to set up with Mosquito a few rows to hopefully get the crystals back. It is possible that the crystals will regrow with Mosquito but not when you set the tray by hand.</w:t>
      </w:r>
    </w:p>
    <w:p w14:paraId="42F83752" w14:textId="77777777" w:rsidR="004C19A1" w:rsidRPr="00741BA9" w:rsidRDefault="00741BA9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1BA9">
        <w:rPr>
          <w:rFonts w:ascii="Arial" w:hAnsi="Arial" w:cs="Arial"/>
          <w:b/>
          <w:u w:val="single"/>
        </w:rPr>
        <w:t>Optimization.</w:t>
      </w:r>
      <w:r>
        <w:rPr>
          <w:rFonts w:ascii="Arial" w:hAnsi="Arial" w:cs="Arial"/>
        </w:rPr>
        <w:t xml:space="preserve"> At this point you would need to set a grid screen to improve the quality of your crystals. Start by planning the screen. The most important thing to optimize is your precipitant – PEG, MPD, Li</w:t>
      </w:r>
      <w:r w:rsidRPr="00741BA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741BA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. Next thing to optimize are salts – </w:t>
      </w:r>
      <w:proofErr w:type="spellStart"/>
      <w:r>
        <w:rPr>
          <w:rFonts w:ascii="Arial" w:hAnsi="Arial" w:cs="Arial"/>
        </w:rPr>
        <w:t>KCl</w:t>
      </w:r>
      <w:proofErr w:type="spellEnd"/>
      <w:r>
        <w:rPr>
          <w:rFonts w:ascii="Arial" w:hAnsi="Arial" w:cs="Arial"/>
        </w:rPr>
        <w:t xml:space="preserve">, NaCl, etc. Finally, for GQs we never optimize buffers. This may not be the case for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-motif for which buffer or pH would need to be optimized. Start by setting up a very coarse screen where the condition of interest is in the middle of the screen. Here is the example of optimizing </w:t>
      </w:r>
      <w:r>
        <w:rPr>
          <w:rFonts w:ascii="Arial" w:hAnsi="Arial" w:cs="Arial"/>
        </w:rPr>
        <w:lastRenderedPageBreak/>
        <w:t>Natrix-1. We will optimize Li</w:t>
      </w:r>
      <w:r w:rsidRPr="00741BA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741BA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horizontally. Each column will contain the same amount of Li</w:t>
      </w:r>
      <w:r w:rsidRPr="00741BA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Pr="00741BA9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bscript"/>
        </w:rPr>
        <w:t>.</w:t>
      </w:r>
    </w:p>
    <w:p w14:paraId="476F2107" w14:textId="77777777" w:rsidR="00741BA9" w:rsidRDefault="00741BA9" w:rsidP="00741BA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741BA9" w14:paraId="7BF6FD26" w14:textId="77777777" w:rsidTr="00741BA9">
        <w:tc>
          <w:tcPr>
            <w:tcW w:w="1558" w:type="dxa"/>
          </w:tcPr>
          <w:p w14:paraId="0D52D406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Li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41BA9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558" w:type="dxa"/>
          </w:tcPr>
          <w:p w14:paraId="3D9CB2C9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Li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41BA9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558" w:type="dxa"/>
          </w:tcPr>
          <w:p w14:paraId="3F83A33C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Li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41BA9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558" w:type="dxa"/>
          </w:tcPr>
          <w:p w14:paraId="381A02F3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 Li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41BA9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559" w:type="dxa"/>
          </w:tcPr>
          <w:p w14:paraId="58EFE90F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Li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41BA9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559" w:type="dxa"/>
          </w:tcPr>
          <w:p w14:paraId="06CCDAEA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Li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741BA9">
              <w:rPr>
                <w:rFonts w:ascii="Arial" w:hAnsi="Arial" w:cs="Arial"/>
                <w:vertAlign w:val="subscript"/>
              </w:rPr>
              <w:t>4</w:t>
            </w:r>
          </w:p>
        </w:tc>
      </w:tr>
      <w:tr w:rsidR="00741BA9" w14:paraId="361C0AA4" w14:textId="77777777" w:rsidTr="00741BA9">
        <w:tc>
          <w:tcPr>
            <w:tcW w:w="1558" w:type="dxa"/>
          </w:tcPr>
          <w:p w14:paraId="4D5A9935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7B47094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04FADF0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BD0B7AA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22C8AE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797F79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41BA9" w14:paraId="2A46F3D4" w14:textId="77777777" w:rsidTr="00741BA9">
        <w:tc>
          <w:tcPr>
            <w:tcW w:w="1558" w:type="dxa"/>
          </w:tcPr>
          <w:p w14:paraId="6CD10C91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ADC1275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7BCEF0A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62B38FD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35FA08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C5E09F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41BA9" w14:paraId="62D39B10" w14:textId="77777777" w:rsidTr="00741BA9">
        <w:tc>
          <w:tcPr>
            <w:tcW w:w="1558" w:type="dxa"/>
          </w:tcPr>
          <w:p w14:paraId="7F04CB1A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5F0A266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B9309EF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2F0D870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AC0686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83013E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AF09219" w14:textId="77777777" w:rsidR="00741BA9" w:rsidRDefault="00741BA9" w:rsidP="00741BA9">
      <w:pPr>
        <w:pStyle w:val="ListParagraph"/>
        <w:rPr>
          <w:rFonts w:ascii="Arial" w:hAnsi="Arial" w:cs="Arial"/>
        </w:rPr>
      </w:pPr>
    </w:p>
    <w:p w14:paraId="2A21A864" w14:textId="77777777" w:rsidR="00741BA9" w:rsidRDefault="00741BA9" w:rsidP="00741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At the same time we will optimize the salt vertically, which is 10 mM MgCl</w:t>
      </w:r>
      <w:r w:rsidRPr="00741BA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in this case. Here we will keep the same amount of MgCl</w:t>
      </w:r>
      <w:r w:rsidRPr="00741BA9">
        <w:rPr>
          <w:rFonts w:ascii="Arial" w:hAnsi="Arial" w:cs="Arial"/>
          <w:vertAlign w:val="subscript"/>
        </w:rPr>
        <w:t>2</w:t>
      </w:r>
      <w:r w:rsidRPr="00741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across each row.</w:t>
      </w:r>
    </w:p>
    <w:p w14:paraId="6845DFF7" w14:textId="77777777" w:rsidR="00741BA9" w:rsidRDefault="00741BA9" w:rsidP="00741BA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939"/>
        <w:gridCol w:w="1429"/>
        <w:gridCol w:w="1429"/>
        <w:gridCol w:w="1429"/>
        <w:gridCol w:w="1429"/>
      </w:tblGrid>
      <w:tr w:rsidR="00741BA9" w14:paraId="7932E229" w14:textId="77777777" w:rsidTr="00741BA9">
        <w:tc>
          <w:tcPr>
            <w:tcW w:w="1975" w:type="dxa"/>
          </w:tcPr>
          <w:p w14:paraId="5BADE630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mM MgCl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39" w:type="dxa"/>
          </w:tcPr>
          <w:p w14:paraId="3964A903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5B4AF4E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FB62DA8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B027C91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971AE27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41BA9" w14:paraId="74EF2391" w14:textId="77777777" w:rsidTr="00741BA9">
        <w:tc>
          <w:tcPr>
            <w:tcW w:w="1975" w:type="dxa"/>
          </w:tcPr>
          <w:p w14:paraId="301B307D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mM MgCl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39" w:type="dxa"/>
          </w:tcPr>
          <w:p w14:paraId="1E1FECFA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49D2E3D3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3A7AE78D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1811D428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F04C464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41BA9" w14:paraId="40C771F9" w14:textId="77777777" w:rsidTr="00741BA9">
        <w:tc>
          <w:tcPr>
            <w:tcW w:w="1975" w:type="dxa"/>
          </w:tcPr>
          <w:p w14:paraId="1534599B" w14:textId="77777777" w:rsidR="00741BA9" w:rsidRDefault="00741BA9" w:rsidP="00741BA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mM MgCl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39" w:type="dxa"/>
          </w:tcPr>
          <w:p w14:paraId="145E4064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ED8EED4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34F2530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E528B1C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FAFA7DB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41BA9" w14:paraId="189111C8" w14:textId="77777777" w:rsidTr="00741BA9">
        <w:tc>
          <w:tcPr>
            <w:tcW w:w="1975" w:type="dxa"/>
          </w:tcPr>
          <w:p w14:paraId="3E6C2936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mM MgCl</w:t>
            </w:r>
            <w:r w:rsidRPr="00741BA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39" w:type="dxa"/>
          </w:tcPr>
          <w:p w14:paraId="5675C898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F9D5019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116C9F7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24EDE5F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6B5D3F4" w14:textId="77777777" w:rsidR="00741BA9" w:rsidRDefault="00741BA9" w:rsidP="0045096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63ECD7" w14:textId="77777777" w:rsidR="00741BA9" w:rsidRDefault="00741BA9" w:rsidP="00741BA9">
      <w:pPr>
        <w:pStyle w:val="ListParagraph"/>
        <w:rPr>
          <w:rFonts w:ascii="Arial" w:hAnsi="Arial" w:cs="Arial"/>
        </w:rPr>
      </w:pPr>
    </w:p>
    <w:p w14:paraId="6481BD02" w14:textId="77777777" w:rsidR="00741BA9" w:rsidRPr="00741BA9" w:rsidRDefault="00741BA9" w:rsidP="00741BA9">
      <w:pPr>
        <w:pStyle w:val="ListParagraph"/>
        <w:rPr>
          <w:rFonts w:ascii="Arial" w:hAnsi="Arial" w:cs="Arial"/>
        </w:rPr>
      </w:pPr>
    </w:p>
    <w:p w14:paraId="603CEBD0" w14:textId="77777777" w:rsidR="004C19A1" w:rsidRDefault="00741BA9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Now that you have done the planning, you can go to this webpage which will help you set up this screen:</w:t>
      </w:r>
    </w:p>
    <w:p w14:paraId="1C2F6E98" w14:textId="77777777" w:rsidR="00741BA9" w:rsidRDefault="007330C1" w:rsidP="00741BA9">
      <w:pPr>
        <w:pStyle w:val="ListParagraph"/>
        <w:rPr>
          <w:rFonts w:ascii="Arial" w:hAnsi="Arial" w:cs="Arial"/>
        </w:rPr>
      </w:pPr>
      <w:hyperlink r:id="rId5" w:history="1">
        <w:r w:rsidR="00741BA9" w:rsidRPr="00DD0A0B">
          <w:rPr>
            <w:rStyle w:val="Hyperlink"/>
            <w:rFonts w:ascii="Arial" w:hAnsi="Arial" w:cs="Arial"/>
          </w:rPr>
          <w:t>https://hamptonresearch.com/make-tray.php</w:t>
        </w:r>
      </w:hyperlink>
    </w:p>
    <w:p w14:paraId="62B28380" w14:textId="77777777" w:rsidR="00741BA9" w:rsidRDefault="00741BA9" w:rsidP="00741BA9">
      <w:pPr>
        <w:pStyle w:val="ListParagraph"/>
        <w:rPr>
          <w:rFonts w:ascii="Arial" w:hAnsi="Arial" w:cs="Arial"/>
        </w:rPr>
      </w:pPr>
    </w:p>
    <w:p w14:paraId="756BADDF" w14:textId="77777777" w:rsidR="00741BA9" w:rsidRDefault="00741BA9" w:rsidP="00741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Detailed instructions on how to use the page and set up new tray can be found here:</w:t>
      </w:r>
    </w:p>
    <w:p w14:paraId="3EFA4530" w14:textId="77777777" w:rsidR="00741BA9" w:rsidRDefault="007330C1" w:rsidP="00741BA9">
      <w:pPr>
        <w:pStyle w:val="ListParagraph"/>
        <w:rPr>
          <w:rFonts w:ascii="Arial" w:hAnsi="Arial" w:cs="Arial"/>
        </w:rPr>
      </w:pPr>
      <w:hyperlink r:id="rId6" w:history="1">
        <w:r w:rsidR="00741BA9" w:rsidRPr="00DD0A0B">
          <w:rPr>
            <w:rStyle w:val="Hyperlink"/>
            <w:rFonts w:ascii="Arial" w:hAnsi="Arial" w:cs="Arial"/>
          </w:rPr>
          <w:t>https://hamptonresearch.com/make-tray-instructions.php</w:t>
        </w:r>
      </w:hyperlink>
    </w:p>
    <w:p w14:paraId="223D21F9" w14:textId="77777777" w:rsidR="00741BA9" w:rsidRDefault="00741BA9" w:rsidP="00741BA9">
      <w:pPr>
        <w:pStyle w:val="ListParagraph"/>
        <w:rPr>
          <w:rFonts w:ascii="Arial" w:hAnsi="Arial" w:cs="Arial"/>
        </w:rPr>
      </w:pPr>
    </w:p>
    <w:p w14:paraId="1E4D17A3" w14:textId="77777777" w:rsidR="00741BA9" w:rsidRDefault="0024017D" w:rsidP="00741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Just like before, to fill this page correctly you would need to know the concentration of your stock solutions.</w:t>
      </w:r>
    </w:p>
    <w:p w14:paraId="0E909B50" w14:textId="77777777" w:rsidR="0024017D" w:rsidRDefault="0024017D" w:rsidP="00741BA9">
      <w:pPr>
        <w:pStyle w:val="ListParagraph"/>
        <w:rPr>
          <w:rFonts w:ascii="Arial" w:hAnsi="Arial" w:cs="Arial"/>
        </w:rPr>
      </w:pPr>
    </w:p>
    <w:p w14:paraId="5CA31065" w14:textId="77777777" w:rsidR="0024017D" w:rsidRDefault="0024017D" w:rsidP="00741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You will get two tables out:</w:t>
      </w:r>
    </w:p>
    <w:p w14:paraId="76B8E5B4" w14:textId="77777777" w:rsidR="0024017D" w:rsidRDefault="0024017D" w:rsidP="00741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first one describes the content of each well</w:t>
      </w:r>
    </w:p>
    <w:p w14:paraId="2E5123A0" w14:textId="77777777" w:rsidR="0024017D" w:rsidRPr="00741BA9" w:rsidRDefault="0024017D" w:rsidP="0024017D">
      <w:pPr>
        <w:pStyle w:val="ListParagraph"/>
        <w:ind w:left="0"/>
        <w:rPr>
          <w:rFonts w:ascii="Arial" w:hAnsi="Arial" w:cs="Arial"/>
        </w:rPr>
      </w:pPr>
      <w:r w:rsidRPr="0024017D">
        <w:rPr>
          <w:rFonts w:ascii="Arial" w:hAnsi="Arial" w:cs="Arial"/>
          <w:noProof/>
        </w:rPr>
        <w:drawing>
          <wp:inline distT="0" distB="0" distL="0" distR="0" wp14:anchorId="3F0EDCE2" wp14:editId="383CA4D7">
            <wp:extent cx="5943600" cy="1139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8711" w14:textId="77777777" w:rsidR="0024017D" w:rsidRDefault="0024017D" w:rsidP="0024017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And the second one tells you how to prepare each well:</w:t>
      </w:r>
    </w:p>
    <w:p w14:paraId="4FDA7E20" w14:textId="77777777" w:rsidR="0024017D" w:rsidRDefault="0024017D" w:rsidP="0024017D">
      <w:pPr>
        <w:pStyle w:val="ListParagraph"/>
        <w:ind w:hanging="720"/>
        <w:rPr>
          <w:rFonts w:ascii="Arial" w:hAnsi="Arial" w:cs="Arial"/>
        </w:rPr>
      </w:pPr>
      <w:r w:rsidRPr="0024017D">
        <w:rPr>
          <w:rFonts w:ascii="Arial" w:hAnsi="Arial" w:cs="Arial"/>
          <w:noProof/>
        </w:rPr>
        <w:drawing>
          <wp:inline distT="0" distB="0" distL="0" distR="0" wp14:anchorId="098CA4AD" wp14:editId="739628C8">
            <wp:extent cx="5943600" cy="1391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81A5" w14:textId="77777777" w:rsidR="0024017D" w:rsidRDefault="0024017D" w:rsidP="002401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will also tell you how much of each reagent you need so you can prepare appropriately. </w:t>
      </w:r>
    </w:p>
    <w:p w14:paraId="15EB5FA0" w14:textId="77777777" w:rsidR="0024017D" w:rsidRDefault="0024017D" w:rsidP="0024017D">
      <w:pPr>
        <w:rPr>
          <w:rFonts w:ascii="Arial" w:hAnsi="Arial" w:cs="Arial"/>
        </w:rPr>
      </w:pPr>
      <w:r w:rsidRPr="0024017D">
        <w:rPr>
          <w:rFonts w:ascii="Arial" w:hAnsi="Arial" w:cs="Arial"/>
          <w:noProof/>
        </w:rPr>
        <w:lastRenderedPageBreak/>
        <w:drawing>
          <wp:inline distT="0" distB="0" distL="0" distR="0" wp14:anchorId="62A779BD" wp14:editId="4DF635E1">
            <wp:extent cx="2019300" cy="84796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023" cy="85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37F3" w14:textId="77777777" w:rsidR="0024017D" w:rsidRDefault="0024017D" w:rsidP="0024017D">
      <w:pPr>
        <w:rPr>
          <w:rFonts w:ascii="Arial" w:hAnsi="Arial" w:cs="Arial"/>
        </w:rPr>
      </w:pPr>
    </w:p>
    <w:p w14:paraId="462F08F1" w14:textId="77777777" w:rsidR="0024017D" w:rsidRPr="0024017D" w:rsidRDefault="0024017D" w:rsidP="002401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no limit to what you can try. Just keep good notes and mark the progress. </w:t>
      </w:r>
    </w:p>
    <w:p w14:paraId="1576F114" w14:textId="01F4C52D" w:rsidR="0024017D" w:rsidRDefault="0024017D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017D">
        <w:rPr>
          <w:rFonts w:ascii="Arial" w:hAnsi="Arial" w:cs="Arial"/>
          <w:b/>
        </w:rPr>
        <w:t>Set up crystal factory</w:t>
      </w:r>
      <w:r>
        <w:rPr>
          <w:rFonts w:ascii="Arial" w:hAnsi="Arial" w:cs="Arial"/>
        </w:rPr>
        <w:t xml:space="preserve">: once you get the crystals that you like – make large amount of that condition – 10 mL or even 50 mL and set up multiple trays with it – hopefully the trays will produce </w:t>
      </w:r>
      <w:proofErr w:type="gramStart"/>
      <w:r>
        <w:rPr>
          <w:rFonts w:ascii="Arial" w:hAnsi="Arial" w:cs="Arial"/>
        </w:rPr>
        <w:t>sufficient number of</w:t>
      </w:r>
      <w:proofErr w:type="gramEnd"/>
      <w:r>
        <w:rPr>
          <w:rFonts w:ascii="Arial" w:hAnsi="Arial" w:cs="Arial"/>
        </w:rPr>
        <w:t xml:space="preserve"> high</w:t>
      </w:r>
      <w:r w:rsidR="007330C1">
        <w:rPr>
          <w:rFonts w:ascii="Arial" w:hAnsi="Arial" w:cs="Arial"/>
        </w:rPr>
        <w:t>-</w:t>
      </w:r>
      <w:r>
        <w:rPr>
          <w:rFonts w:ascii="Arial" w:hAnsi="Arial" w:cs="Arial"/>
        </w:rPr>
        <w:t>quality crystals.</w:t>
      </w:r>
    </w:p>
    <w:p w14:paraId="0F0B497C" w14:textId="77777777" w:rsidR="0024017D" w:rsidRPr="00741BA9" w:rsidRDefault="0024017D" w:rsidP="004C19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Good luck</w:t>
      </w:r>
      <w:r w:rsidRPr="0024017D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</w:p>
    <w:sectPr w:rsidR="0024017D" w:rsidRPr="0074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042A"/>
    <w:multiLevelType w:val="hybridMultilevel"/>
    <w:tmpl w:val="EDAC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A1"/>
    <w:rsid w:val="000529B5"/>
    <w:rsid w:val="001A0F9B"/>
    <w:rsid w:val="0024017D"/>
    <w:rsid w:val="00450CCF"/>
    <w:rsid w:val="004C19A1"/>
    <w:rsid w:val="007330C1"/>
    <w:rsid w:val="00741BA9"/>
    <w:rsid w:val="00986BD7"/>
    <w:rsid w:val="00E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DCA2"/>
  <w15:chartTrackingRefBased/>
  <w15:docId w15:val="{C346BC07-70C0-4E01-83A1-1762136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A1"/>
    <w:pPr>
      <w:ind w:left="720"/>
      <w:contextualSpacing/>
    </w:pPr>
  </w:style>
  <w:style w:type="table" w:styleId="TableGrid">
    <w:name w:val="Table Grid"/>
    <w:basedOn w:val="TableNormal"/>
    <w:uiPriority w:val="39"/>
    <w:rsid w:val="004C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B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mptonresearch.com/make-tray-instruction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mptonresearch.com/make-tray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itsimage</dc:creator>
  <cp:keywords/>
  <dc:description/>
  <cp:lastModifiedBy>Martin, Kailey</cp:lastModifiedBy>
  <cp:revision>3</cp:revision>
  <dcterms:created xsi:type="dcterms:W3CDTF">2021-06-24T21:48:00Z</dcterms:created>
  <dcterms:modified xsi:type="dcterms:W3CDTF">2021-09-28T19:49:00Z</dcterms:modified>
</cp:coreProperties>
</file>