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F5AA3" w14:textId="77777777" w:rsidR="00454350" w:rsidRPr="002B3B75" w:rsidRDefault="00454350" w:rsidP="00454350">
      <w:pPr>
        <w:ind w:left="360"/>
        <w:jc w:val="center"/>
        <w:rPr>
          <w:b/>
        </w:rPr>
      </w:pPr>
      <w:r>
        <w:rPr>
          <w:b/>
        </w:rPr>
        <w:t xml:space="preserve">Protocol for denaturing </w:t>
      </w:r>
      <w:r w:rsidRPr="002B3B75">
        <w:rPr>
          <w:b/>
        </w:rPr>
        <w:t>gels</w:t>
      </w:r>
    </w:p>
    <w:p w14:paraId="0C650DF6" w14:textId="359A8AF5" w:rsidR="00454350" w:rsidRDefault="00454350" w:rsidP="00454350">
      <w:pPr>
        <w:spacing w:after="0" w:line="240" w:lineRule="auto"/>
        <w:ind w:left="360"/>
        <w:jc w:val="center"/>
      </w:pPr>
      <w:r>
        <w:t>Ba</w:t>
      </w:r>
      <w:r w:rsidR="00DD4837">
        <w:t>s</w:t>
      </w:r>
      <w:r>
        <w:t xml:space="preserve">ed on </w:t>
      </w:r>
      <w:r w:rsidR="003C0D58">
        <w:t xml:space="preserve">Native PAGE </w:t>
      </w:r>
      <w:r>
        <w:t>protocol written by Jessica Chen and Liliya Yatsunyk</w:t>
      </w:r>
    </w:p>
    <w:p w14:paraId="1BD55BAE" w14:textId="642CF5FC" w:rsidR="00454350" w:rsidRDefault="00CA34CC" w:rsidP="00454350">
      <w:pPr>
        <w:spacing w:after="0" w:line="240" w:lineRule="auto"/>
        <w:ind w:left="360"/>
        <w:jc w:val="center"/>
      </w:pPr>
      <w:r>
        <w:t xml:space="preserve">Updated: </w:t>
      </w:r>
      <w:r w:rsidR="00570A52">
        <w:t xml:space="preserve">DJ </w:t>
      </w:r>
      <w:r w:rsidR="003C0D58">
        <w:t>09/01/18</w:t>
      </w:r>
      <w:r>
        <w:t>, KL 06/25/21</w:t>
      </w:r>
    </w:p>
    <w:p w14:paraId="632AD65C" w14:textId="77777777" w:rsidR="00454350" w:rsidRPr="00454350" w:rsidRDefault="00454350" w:rsidP="00454350">
      <w:pPr>
        <w:spacing w:after="0" w:line="240" w:lineRule="auto"/>
        <w:ind w:left="360"/>
        <w:jc w:val="center"/>
      </w:pPr>
    </w:p>
    <w:p w14:paraId="7D6E7171" w14:textId="77777777" w:rsidR="00454350" w:rsidRDefault="00454350" w:rsidP="00454350">
      <w:pPr>
        <w:ind w:left="360"/>
      </w:pPr>
      <w:r w:rsidRPr="002B3B75">
        <w:rPr>
          <w:b/>
        </w:rPr>
        <w:t>Attention</w:t>
      </w:r>
      <w:r>
        <w:t>: unpolymerized acrylamide is a neurotoxin. For any drips and spills, wipe it off with paper towel, change gloves and spray the area with ethanol. If the spill is large, add TMED to get the acrylamide to polymerize.</w:t>
      </w:r>
    </w:p>
    <w:p w14:paraId="1102FD15" w14:textId="77777777" w:rsidR="00454350" w:rsidRDefault="00454350" w:rsidP="00454350">
      <w:pPr>
        <w:spacing w:after="0"/>
        <w:ind w:left="360"/>
        <w:contextualSpacing/>
      </w:pPr>
      <w:r>
        <w:rPr>
          <w:b/>
        </w:rPr>
        <w:t xml:space="preserve">Samples for the gel: </w:t>
      </w:r>
      <w:r w:rsidRPr="00725949">
        <w:t xml:space="preserve">(No ions should be </w:t>
      </w:r>
      <w:r>
        <w:t>included</w:t>
      </w:r>
      <w:r w:rsidRPr="00725949">
        <w:t xml:space="preserve"> in the any of the samples)</w:t>
      </w:r>
    </w:p>
    <w:p w14:paraId="3AB3BA03" w14:textId="797B3EFB" w:rsidR="00454350" w:rsidRDefault="00454350" w:rsidP="00454350">
      <w:pPr>
        <w:spacing w:after="0"/>
        <w:ind w:left="1080"/>
      </w:pPr>
      <w:r>
        <w:t xml:space="preserve">Samples can be prepared the same day as the gel and should consist of </w:t>
      </w:r>
      <w:r w:rsidRPr="002B3B75">
        <w:rPr>
          <w:b/>
        </w:rPr>
        <w:t>3 µg DNA in 10 µL</w:t>
      </w:r>
      <w:r>
        <w:t xml:space="preserve"> </w:t>
      </w:r>
      <w:r w:rsidRPr="002B3B75">
        <w:rPr>
          <w:b/>
          <w:highlight w:val="yellow"/>
        </w:rPr>
        <w:t>water</w:t>
      </w:r>
      <w:r>
        <w:t xml:space="preserve">. To each 10 </w:t>
      </w:r>
      <w:proofErr w:type="spellStart"/>
      <w:r w:rsidRPr="00117051">
        <w:t>μ</w:t>
      </w:r>
      <w:r w:rsidR="003C0D58">
        <w:t>L</w:t>
      </w:r>
      <w:proofErr w:type="spellEnd"/>
      <w:r w:rsidR="003C0D58">
        <w:t xml:space="preserve"> of the sample, </w:t>
      </w:r>
      <w:r>
        <w:t xml:space="preserve">add 3 </w:t>
      </w:r>
      <w:proofErr w:type="spellStart"/>
      <w:r w:rsidRPr="00117051">
        <w:t>μ</w:t>
      </w:r>
      <w:r w:rsidR="00C8730B">
        <w:t>L</w:t>
      </w:r>
      <w:proofErr w:type="spellEnd"/>
      <w:r w:rsidR="00C8730B">
        <w:t xml:space="preserve"> of formamide </w:t>
      </w:r>
      <w:r w:rsidR="003C0D58">
        <w:t xml:space="preserve">then </w:t>
      </w:r>
      <w:r w:rsidR="00CA34CC">
        <w:rPr>
          <w:highlight w:val="yellow"/>
        </w:rPr>
        <w:t xml:space="preserve">put in </w:t>
      </w:r>
      <w:proofErr w:type="spellStart"/>
      <w:r w:rsidR="00CA34CC">
        <w:rPr>
          <w:highlight w:val="yellow"/>
        </w:rPr>
        <w:t>annealer</w:t>
      </w:r>
      <w:proofErr w:type="spellEnd"/>
      <w:r w:rsidR="00C8730B" w:rsidRPr="00C8730B">
        <w:rPr>
          <w:highlight w:val="yellow"/>
        </w:rPr>
        <w:t xml:space="preserve"> for 5 min at 95 °C</w:t>
      </w:r>
      <w:r w:rsidR="00C8730B">
        <w:t xml:space="preserve"> to unfold the DNA!</w:t>
      </w:r>
      <w:r w:rsidR="001D7482">
        <w:t xml:space="preserve"> Allow samples to cool at RT for 5 minutes before loading.</w:t>
      </w:r>
      <w:r w:rsidR="00C8730B">
        <w:t xml:space="preserve"> </w:t>
      </w:r>
      <w:r w:rsidRPr="002B3B75">
        <w:rPr>
          <w:highlight w:val="yellow"/>
        </w:rPr>
        <w:t>Load 10 µL of sample for both 10 and 15-lane gels.</w:t>
      </w:r>
    </w:p>
    <w:p w14:paraId="1BF3E573" w14:textId="77777777" w:rsidR="00454350" w:rsidRDefault="001D7482" w:rsidP="00454350">
      <w:pPr>
        <w:spacing w:after="0"/>
        <w:ind w:left="360"/>
        <w:jc w:val="center"/>
      </w:pPr>
      <m:oMathPara>
        <m:oMath>
          <m:sSub>
            <m:sSubPr>
              <m:ctrlPr>
                <w:rPr>
                  <w:rFonts w:ascii="Cambria Math" w:hAnsi="Cambria Math"/>
                  <w:bCs/>
                  <w:i/>
                </w:rPr>
              </m:ctrlPr>
            </m:sSubPr>
            <m:e>
              <m:r>
                <w:rPr>
                  <w:rFonts w:ascii="Cambria Math" w:hAnsi="Cambria Math"/>
                </w:rPr>
                <m:t>V</m:t>
              </m:r>
            </m:e>
            <m:sub>
              <m:r>
                <w:rPr>
                  <w:rFonts w:ascii="Cambria Math" w:hAnsi="Cambria Math"/>
                </w:rPr>
                <m:t>DNA</m:t>
              </m:r>
            </m:sub>
          </m:sSub>
          <m:r>
            <w:rPr>
              <w:rFonts w:ascii="Cambria Math" w:hAnsi="Cambria Math"/>
            </w:rPr>
            <m:t xml:space="preserve"> </m:t>
          </m:r>
          <m:d>
            <m:dPr>
              <m:ctrlPr>
                <w:rPr>
                  <w:rFonts w:ascii="Cambria Math" w:hAnsi="Cambria Math"/>
                  <w:i/>
                </w:rPr>
              </m:ctrlPr>
            </m:dPr>
            <m:e>
              <m:r>
                <w:rPr>
                  <w:rFonts w:ascii="Cambria Math" w:hAnsi="Cambria Math"/>
                </w:rPr>
                <m:t>μL</m:t>
              </m:r>
            </m:e>
          </m:d>
          <m:r>
            <w:rPr>
              <w:rFonts w:ascii="Cambria Math" w:hAnsi="Cambria Math"/>
            </w:rPr>
            <m:t>=</m:t>
          </m:r>
          <m:f>
            <m:fPr>
              <m:ctrlPr>
                <w:rPr>
                  <w:rFonts w:ascii="Cambria Math" w:hAnsi="Cambria Math"/>
                  <w:bCs/>
                  <w:i/>
                </w:rPr>
              </m:ctrlPr>
            </m:fPr>
            <m:num>
              <m:r>
                <w:rPr>
                  <w:rFonts w:ascii="Cambria Math" w:hAnsi="Cambria Math"/>
                </w:rPr>
                <m:t>3 μg</m:t>
              </m:r>
            </m:num>
            <m:den>
              <m:d>
                <m:dPr>
                  <m:ctrlPr>
                    <w:rPr>
                      <w:rFonts w:ascii="Cambria Math" w:hAnsi="Cambria Math"/>
                      <w:i/>
                    </w:rPr>
                  </m:ctrlPr>
                </m:dPr>
                <m:e>
                  <m:r>
                    <w:rPr>
                      <w:rFonts w:ascii="Cambria Math" w:hAnsi="Cambria Math"/>
                    </w:rPr>
                    <m:t xml:space="preserve">MW, </m:t>
                  </m:r>
                  <m:f>
                    <m:fPr>
                      <m:type m:val="skw"/>
                      <m:ctrlPr>
                        <w:rPr>
                          <w:rFonts w:ascii="Cambria Math" w:hAnsi="Cambria Math"/>
                          <w:bCs/>
                          <w:i/>
                        </w:rPr>
                      </m:ctrlPr>
                    </m:fPr>
                    <m:num>
                      <m:r>
                        <w:rPr>
                          <w:rFonts w:ascii="Cambria Math" w:hAnsi="Cambria Math"/>
                        </w:rPr>
                        <m:t>g</m:t>
                      </m:r>
                    </m:num>
                    <m:den>
                      <m:r>
                        <w:rPr>
                          <w:rFonts w:ascii="Cambria Math" w:hAnsi="Cambria Math"/>
                        </w:rPr>
                        <m:t>mol</m:t>
                      </m:r>
                    </m:den>
                  </m:f>
                </m:e>
              </m:d>
              <m:r>
                <w:rPr>
                  <w:rFonts w:ascii="Cambria Math" w:hAnsi="Cambria Math"/>
                </w:rPr>
                <m:t>*(Stock Conc., mM)</m:t>
              </m:r>
            </m:den>
          </m:f>
          <m:r>
            <w:rPr>
              <w:rFonts w:ascii="Cambria Math" w:hAnsi="Cambria Math"/>
            </w:rPr>
            <m:t>*</m:t>
          </m:r>
          <m:sSup>
            <m:sSupPr>
              <m:ctrlPr>
                <w:rPr>
                  <w:rFonts w:ascii="Cambria Math" w:hAnsi="Cambria Math"/>
                  <w:bCs/>
                  <w:i/>
                </w:rPr>
              </m:ctrlPr>
            </m:sSupPr>
            <m:e>
              <m:r>
                <w:rPr>
                  <w:rFonts w:ascii="Cambria Math" w:hAnsi="Cambria Math"/>
                </w:rPr>
                <m:t>10</m:t>
              </m:r>
            </m:e>
            <m:sup>
              <m:r>
                <w:rPr>
                  <w:rFonts w:ascii="Cambria Math" w:hAnsi="Cambria Math"/>
                </w:rPr>
                <m:t>3</m:t>
              </m:r>
            </m:sup>
          </m:sSup>
        </m:oMath>
      </m:oMathPara>
    </w:p>
    <w:p w14:paraId="76B636E1" w14:textId="77777777" w:rsidR="00454350" w:rsidRPr="007218BB" w:rsidRDefault="00454350" w:rsidP="00454350">
      <w:pPr>
        <w:spacing w:after="0"/>
        <w:ind w:left="1080"/>
      </w:pPr>
      <w:r w:rsidRPr="002B3B75">
        <w:rPr>
          <w:u w:val="single"/>
        </w:rPr>
        <w:t>dT controls.</w:t>
      </w:r>
      <w:r>
        <w:t xml:space="preserve"> We have two premixed types of dT controls/ladders: dT, and dT+90. Both consist of </w:t>
      </w:r>
      <w:proofErr w:type="spellStart"/>
      <w:r>
        <w:t>polythymine</w:t>
      </w:r>
      <w:proofErr w:type="spellEnd"/>
      <w:r>
        <w:t xml:space="preserve"> oligos, with 15, 24, 30, and 60 repeat sequences present at 60 µM, 30 µM, 30 µM, and 30 µM, respectively. dT+90 adds an additional T90 oligo (15 µM in the mix), and as such is expensive – use only when your samples exceed 60 nucleotides. Assemble the following mixture:</w:t>
      </w:r>
    </w:p>
    <w:p w14:paraId="4764483B" w14:textId="77777777" w:rsidR="00454350" w:rsidRDefault="00454350" w:rsidP="00454350">
      <w:pPr>
        <w:spacing w:after="0"/>
        <w:contextualSpacing/>
      </w:pPr>
    </w:p>
    <w:p w14:paraId="6D33C7E3" w14:textId="77777777" w:rsidR="00454350" w:rsidRPr="007218BB" w:rsidRDefault="00454350" w:rsidP="00454350">
      <w:pPr>
        <w:spacing w:after="0"/>
        <w:ind w:left="1080"/>
      </w:pPr>
      <w:r w:rsidRPr="007218BB">
        <w:t>For 1 lane: 4 µL dT mix + 6 µ</w:t>
      </w:r>
      <w:r>
        <w:t>L water</w:t>
      </w:r>
      <w:r w:rsidRPr="007218BB">
        <w:t xml:space="preserve"> + and 3 µ</w:t>
      </w:r>
      <w:r>
        <w:t>L</w:t>
      </w:r>
      <w:r w:rsidRPr="007218BB">
        <w:t xml:space="preserve"> </w:t>
      </w:r>
      <w:r>
        <w:t>formamide</w:t>
      </w:r>
    </w:p>
    <w:p w14:paraId="7688421A" w14:textId="77777777" w:rsidR="00454350" w:rsidRDefault="00454350" w:rsidP="00454350">
      <w:pPr>
        <w:spacing w:after="0"/>
        <w:ind w:left="1080"/>
      </w:pPr>
      <w:r w:rsidRPr="007218BB">
        <w:t xml:space="preserve">For 2 lanes: 7 µL dT mix + 10 </w:t>
      </w:r>
      <w:proofErr w:type="spellStart"/>
      <w:r w:rsidRPr="007218BB">
        <w:t>uL</w:t>
      </w:r>
      <w:proofErr w:type="spellEnd"/>
      <w:r>
        <w:t xml:space="preserve"> water + 5 </w:t>
      </w:r>
      <w:proofErr w:type="spellStart"/>
      <w:r>
        <w:t>uL</w:t>
      </w:r>
      <w:proofErr w:type="spellEnd"/>
      <w:r>
        <w:t xml:space="preserve"> </w:t>
      </w:r>
      <w:r w:rsidR="00C8730B">
        <w:t>formami</w:t>
      </w:r>
      <w:r>
        <w:t>de</w:t>
      </w:r>
    </w:p>
    <w:p w14:paraId="645CDC59" w14:textId="77777777" w:rsidR="00454350" w:rsidRDefault="00454350" w:rsidP="00454350">
      <w:pPr>
        <w:spacing w:after="0"/>
        <w:ind w:left="780"/>
        <w:contextualSpacing/>
      </w:pPr>
    </w:p>
    <w:p w14:paraId="597E3ABE" w14:textId="77777777" w:rsidR="00454350" w:rsidRDefault="00C8730B" w:rsidP="00454350">
      <w:pPr>
        <w:spacing w:after="0"/>
        <w:ind w:left="1080"/>
      </w:pPr>
      <w:r>
        <w:rPr>
          <w:highlight w:val="yellow"/>
        </w:rPr>
        <w:t xml:space="preserve">After assembling sample, boil for 5 min at 95 °C. </w:t>
      </w:r>
      <w:r w:rsidR="00454350" w:rsidRPr="002B3B75">
        <w:rPr>
          <w:highlight w:val="yellow"/>
        </w:rPr>
        <w:t>Load 10 µL of dT sample per lane.</w:t>
      </w:r>
    </w:p>
    <w:p w14:paraId="5AA060E4" w14:textId="77777777" w:rsidR="00454350" w:rsidRDefault="00454350" w:rsidP="00454350">
      <w:pPr>
        <w:spacing w:after="0"/>
        <w:contextualSpacing/>
      </w:pPr>
    </w:p>
    <w:p w14:paraId="55B1EACF" w14:textId="7E92817F" w:rsidR="00454350" w:rsidRDefault="00454350" w:rsidP="00454350">
      <w:pPr>
        <w:spacing w:after="0"/>
        <w:ind w:left="360"/>
        <w:contextualSpacing/>
      </w:pPr>
      <w:r>
        <w:rPr>
          <w:u w:val="single"/>
        </w:rPr>
        <w:t>Tracking dye.</w:t>
      </w:r>
      <w:r>
        <w:t xml:space="preserve">  This is only to check the gel progress. Using dyes in UV-shadowing will interfere with the experiment.  Use the stock that has three components (bromophenol blue, </w:t>
      </w:r>
      <w:proofErr w:type="spellStart"/>
      <w:r>
        <w:t>xylone</w:t>
      </w:r>
      <w:proofErr w:type="spellEnd"/>
      <w:r>
        <w:t>, and yellow), usually stored on the top shelf of the</w:t>
      </w:r>
      <w:r w:rsidR="00DD4837">
        <w:t xml:space="preserve"> refrigerator. </w:t>
      </w:r>
      <w:r>
        <w:t xml:space="preserve">Assemble the following mixture: </w:t>
      </w:r>
    </w:p>
    <w:p w14:paraId="2589FB31" w14:textId="77777777" w:rsidR="00454350" w:rsidRDefault="00454350" w:rsidP="00454350">
      <w:pPr>
        <w:spacing w:after="0"/>
        <w:ind w:left="720"/>
        <w:contextualSpacing/>
      </w:pPr>
    </w:p>
    <w:p w14:paraId="3976412C" w14:textId="77777777" w:rsidR="00454350" w:rsidRPr="007218BB" w:rsidRDefault="00454350" w:rsidP="00454350">
      <w:pPr>
        <w:spacing w:after="0"/>
        <w:ind w:left="1080"/>
      </w:pPr>
      <w:r w:rsidRPr="007218BB">
        <w:t xml:space="preserve">2 </w:t>
      </w:r>
      <w:proofErr w:type="spellStart"/>
      <w:r w:rsidRPr="007218BB">
        <w:t>μL</w:t>
      </w:r>
      <w:proofErr w:type="spellEnd"/>
      <w:r w:rsidRPr="007218BB">
        <w:t xml:space="preserve"> of dye stock, 3 </w:t>
      </w:r>
      <w:proofErr w:type="spellStart"/>
      <w:r w:rsidRPr="007218BB">
        <w:t>μL</w:t>
      </w:r>
      <w:proofErr w:type="spellEnd"/>
      <w:r w:rsidRPr="007218BB">
        <w:t xml:space="preserve"> of </w:t>
      </w:r>
      <w:r>
        <w:t>formamide</w:t>
      </w:r>
      <w:r w:rsidRPr="007218BB">
        <w:t xml:space="preserve">, and 8 </w:t>
      </w:r>
      <w:proofErr w:type="spellStart"/>
      <w:r w:rsidRPr="007218BB">
        <w:t>μL</w:t>
      </w:r>
      <w:proofErr w:type="spellEnd"/>
      <w:r w:rsidRPr="007218BB">
        <w:t xml:space="preserve"> of the</w:t>
      </w:r>
      <w:r>
        <w:t xml:space="preserve"> water</w:t>
      </w:r>
      <w:r w:rsidRPr="007218BB">
        <w:t xml:space="preserve">, and </w:t>
      </w:r>
      <w:r w:rsidRPr="002B3B75">
        <w:rPr>
          <w:highlight w:val="yellow"/>
        </w:rPr>
        <w:t>load 8 µL</w:t>
      </w:r>
      <w:r w:rsidRPr="007218BB">
        <w:t>, usually in an outermost lane and NOT next to a ladder.</w:t>
      </w:r>
    </w:p>
    <w:p w14:paraId="08AEFB92" w14:textId="77777777" w:rsidR="00454350" w:rsidRDefault="00454350" w:rsidP="00454350">
      <w:pPr>
        <w:spacing w:after="0"/>
        <w:ind w:left="1080"/>
        <w:contextualSpacing/>
      </w:pPr>
      <w:r>
        <w:t>Blue/orange 6x loading dye, made by Promega in Madison, WI; ref G190A</w:t>
      </w:r>
    </w:p>
    <w:p w14:paraId="3BF5C790" w14:textId="77777777" w:rsidR="00454350" w:rsidRDefault="00454350" w:rsidP="00454350">
      <w:pPr>
        <w:spacing w:after="0"/>
        <w:contextualSpacing/>
      </w:pPr>
    </w:p>
    <w:p w14:paraId="5EF5A9A4" w14:textId="77777777" w:rsidR="00454350" w:rsidRDefault="00454350" w:rsidP="001D7482">
      <w:pPr>
        <w:spacing w:after="0"/>
        <w:ind w:left="360"/>
        <w:contextualSpacing/>
      </w:pPr>
      <w:r>
        <w:rPr>
          <w:b/>
        </w:rPr>
        <w:t>Making gel and running buffer</w:t>
      </w:r>
    </w:p>
    <w:p w14:paraId="1179D99D" w14:textId="77777777" w:rsidR="00454350" w:rsidRDefault="00454350" w:rsidP="001D7482">
      <w:pPr>
        <w:spacing w:after="120" w:line="240" w:lineRule="auto"/>
        <w:ind w:left="360"/>
      </w:pPr>
      <w:r>
        <w:t xml:space="preserve">Rinse all equipment with DI water and ethanol, let it air dry or pat dry. </w:t>
      </w:r>
    </w:p>
    <w:p w14:paraId="0A9E1822" w14:textId="77777777" w:rsidR="00454350" w:rsidRDefault="00454350" w:rsidP="001D7482">
      <w:pPr>
        <w:spacing w:after="120" w:line="240" w:lineRule="auto"/>
        <w:ind w:left="360"/>
      </w:pPr>
      <w:r>
        <w:t xml:space="preserve">Assemble the gel set up. Pack a glass sandwich with one notched glass plate, two plastic strips aligned to the sides, and a blank glass plate on top. Hold the “glass sandwich” and slide it inside the gel casting bag. Put the setup inside the gel castor, </w:t>
      </w:r>
      <w:r w:rsidRPr="00EF60D1">
        <w:rPr>
          <w:b/>
        </w:rPr>
        <w:t>behind the solid plastic block</w:t>
      </w:r>
      <w:r>
        <w:t>. Choose the right comb – the choices are: 10 lane and 15 lane combs. Test and see if the comb fits, if not, you have to move the spacers further apart.</w:t>
      </w:r>
    </w:p>
    <w:p w14:paraId="6E107763" w14:textId="77777777" w:rsidR="00454350" w:rsidRDefault="00454350" w:rsidP="001D7482">
      <w:pPr>
        <w:spacing w:after="120" w:line="240" w:lineRule="auto"/>
        <w:ind w:left="360"/>
      </w:pPr>
      <w:r>
        <w:t xml:space="preserve"> Adjust the two knobs on the </w:t>
      </w:r>
      <w:bookmarkStart w:id="0" w:name="_GoBack"/>
      <w:bookmarkEnd w:id="0"/>
      <w:r>
        <w:t xml:space="preserve">base of gel castor, so the bubble floats to the center of the white circle, indicating the castor is balanced. </w:t>
      </w:r>
    </w:p>
    <w:p w14:paraId="75C62460" w14:textId="77777777" w:rsidR="00DD4837" w:rsidRDefault="00DD4837" w:rsidP="001D7482">
      <w:pPr>
        <w:spacing w:after="0" w:line="240" w:lineRule="auto"/>
        <w:ind w:left="360"/>
      </w:pPr>
    </w:p>
    <w:p w14:paraId="4D6E7CFF" w14:textId="77777777" w:rsidR="00DD4837" w:rsidRDefault="00DD4837" w:rsidP="001D7482">
      <w:pPr>
        <w:spacing w:after="0" w:line="240" w:lineRule="auto"/>
        <w:ind w:left="360"/>
      </w:pPr>
    </w:p>
    <w:p w14:paraId="22BE21DF" w14:textId="77777777" w:rsidR="00DD4837" w:rsidRDefault="00DD4837" w:rsidP="001D7482">
      <w:pPr>
        <w:spacing w:after="0" w:line="240" w:lineRule="auto"/>
        <w:ind w:left="360"/>
      </w:pPr>
    </w:p>
    <w:p w14:paraId="73263CAE" w14:textId="77777777" w:rsidR="00DD4837" w:rsidRDefault="00DD4837" w:rsidP="001D7482">
      <w:pPr>
        <w:spacing w:after="0" w:line="240" w:lineRule="auto"/>
        <w:ind w:left="360"/>
      </w:pPr>
    </w:p>
    <w:p w14:paraId="1CF2C2CB" w14:textId="77777777" w:rsidR="00DD4837" w:rsidRDefault="00DD4837" w:rsidP="001D7482">
      <w:pPr>
        <w:spacing w:after="0" w:line="240" w:lineRule="auto"/>
        <w:ind w:left="360"/>
      </w:pPr>
    </w:p>
    <w:p w14:paraId="47D68216" w14:textId="2C0B4B7C" w:rsidR="00454350" w:rsidRDefault="00454350" w:rsidP="001D7482">
      <w:pPr>
        <w:spacing w:after="0" w:line="240" w:lineRule="auto"/>
        <w:ind w:left="360"/>
      </w:pPr>
      <w:r>
        <w:t xml:space="preserve">Prepare the gel solution according to the table </w:t>
      </w:r>
      <w:r w:rsidR="00DD4837">
        <w:t>below (volume 40 mL for one gel)</w:t>
      </w:r>
    </w:p>
    <w:p w14:paraId="0B496215" w14:textId="77777777" w:rsidR="00454350" w:rsidRDefault="00454350" w:rsidP="00454350">
      <w:pPr>
        <w:spacing w:after="0" w:line="240" w:lineRule="auto"/>
      </w:pPr>
    </w:p>
    <w:tbl>
      <w:tblPr>
        <w:tblW w:w="10433"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90"/>
        <w:gridCol w:w="2603"/>
        <w:gridCol w:w="1620"/>
        <w:gridCol w:w="1710"/>
        <w:gridCol w:w="1710"/>
      </w:tblGrid>
      <w:tr w:rsidR="00454350" w14:paraId="327ECC77" w14:textId="77777777" w:rsidTr="00DD4837">
        <w:tc>
          <w:tcPr>
            <w:tcW w:w="2790" w:type="dxa"/>
          </w:tcPr>
          <w:p w14:paraId="19447C2C" w14:textId="77777777" w:rsidR="00454350" w:rsidRPr="002B3B75" w:rsidRDefault="00454350" w:rsidP="00DD4837">
            <w:pPr>
              <w:spacing w:after="0" w:line="240" w:lineRule="auto"/>
              <w:ind w:left="360"/>
              <w:rPr>
                <w:b/>
              </w:rPr>
            </w:pPr>
            <w:r w:rsidRPr="002B3B75">
              <w:rPr>
                <w:b/>
              </w:rPr>
              <w:t>Stock solution</w:t>
            </w:r>
          </w:p>
        </w:tc>
        <w:tc>
          <w:tcPr>
            <w:tcW w:w="2603" w:type="dxa"/>
          </w:tcPr>
          <w:p w14:paraId="735C74D4" w14:textId="77777777" w:rsidR="00454350" w:rsidRPr="002B3B75" w:rsidRDefault="00454350" w:rsidP="00DD4837">
            <w:pPr>
              <w:spacing w:after="0" w:line="240" w:lineRule="auto"/>
              <w:ind w:left="360"/>
              <w:rPr>
                <w:b/>
              </w:rPr>
            </w:pPr>
            <w:r w:rsidRPr="002B3B75">
              <w:rPr>
                <w:b/>
              </w:rPr>
              <w:t>Final concentration</w:t>
            </w:r>
          </w:p>
        </w:tc>
        <w:tc>
          <w:tcPr>
            <w:tcW w:w="1620" w:type="dxa"/>
          </w:tcPr>
          <w:p w14:paraId="3CFAE8D8" w14:textId="77777777" w:rsidR="00454350" w:rsidRPr="002B3B75" w:rsidRDefault="00454350" w:rsidP="00DD4837">
            <w:pPr>
              <w:spacing w:after="0" w:line="240" w:lineRule="auto"/>
              <w:ind w:left="360"/>
              <w:rPr>
                <w:b/>
                <w:color w:val="FF0000"/>
              </w:rPr>
            </w:pPr>
            <w:r w:rsidRPr="002B3B75">
              <w:rPr>
                <w:b/>
                <w:color w:val="FF0000"/>
              </w:rPr>
              <w:t>12 % gel</w:t>
            </w:r>
          </w:p>
        </w:tc>
        <w:tc>
          <w:tcPr>
            <w:tcW w:w="1710" w:type="dxa"/>
          </w:tcPr>
          <w:p w14:paraId="00C37BD1" w14:textId="77777777" w:rsidR="00454350" w:rsidRPr="002B3B75" w:rsidRDefault="00454350" w:rsidP="00DD4837">
            <w:pPr>
              <w:spacing w:after="0" w:line="240" w:lineRule="auto"/>
              <w:ind w:left="360"/>
              <w:rPr>
                <w:b/>
              </w:rPr>
            </w:pPr>
            <w:r w:rsidRPr="002B3B75">
              <w:rPr>
                <w:b/>
              </w:rPr>
              <w:t>10 % gel</w:t>
            </w:r>
          </w:p>
        </w:tc>
        <w:tc>
          <w:tcPr>
            <w:tcW w:w="1710" w:type="dxa"/>
          </w:tcPr>
          <w:p w14:paraId="6671B021" w14:textId="77777777" w:rsidR="00454350" w:rsidRPr="002B3B75" w:rsidRDefault="00454350" w:rsidP="00DD4837">
            <w:pPr>
              <w:spacing w:after="0" w:line="240" w:lineRule="auto"/>
              <w:ind w:left="360"/>
              <w:rPr>
                <w:b/>
                <w:color w:val="00B050"/>
              </w:rPr>
            </w:pPr>
            <w:r w:rsidRPr="002B3B75">
              <w:rPr>
                <w:b/>
                <w:color w:val="00B050"/>
              </w:rPr>
              <w:t>6 % gel</w:t>
            </w:r>
          </w:p>
        </w:tc>
      </w:tr>
      <w:tr w:rsidR="00454350" w14:paraId="0756A8D1" w14:textId="77777777" w:rsidTr="00DD4837">
        <w:tc>
          <w:tcPr>
            <w:tcW w:w="2790" w:type="dxa"/>
          </w:tcPr>
          <w:p w14:paraId="4576B471" w14:textId="77777777" w:rsidR="00454350" w:rsidRDefault="00454350" w:rsidP="00DD4837">
            <w:pPr>
              <w:spacing w:after="0" w:line="240" w:lineRule="auto"/>
              <w:ind w:left="360"/>
            </w:pPr>
            <w:r>
              <w:t>Urea, 60.06 g/</w:t>
            </w:r>
            <w:proofErr w:type="spellStart"/>
            <w:r>
              <w:t>mol</w:t>
            </w:r>
            <w:proofErr w:type="spellEnd"/>
          </w:p>
        </w:tc>
        <w:tc>
          <w:tcPr>
            <w:tcW w:w="2603" w:type="dxa"/>
          </w:tcPr>
          <w:p w14:paraId="75F52A44" w14:textId="77777777" w:rsidR="00454350" w:rsidRDefault="00454350" w:rsidP="00DD4837">
            <w:pPr>
              <w:spacing w:after="0" w:line="240" w:lineRule="auto"/>
              <w:ind w:left="360"/>
            </w:pPr>
            <w:r>
              <w:t>7M</w:t>
            </w:r>
          </w:p>
        </w:tc>
        <w:tc>
          <w:tcPr>
            <w:tcW w:w="1620" w:type="dxa"/>
          </w:tcPr>
          <w:p w14:paraId="59635D06" w14:textId="77777777" w:rsidR="00454350" w:rsidRPr="002B3B75" w:rsidRDefault="00454350" w:rsidP="00DD4837">
            <w:pPr>
              <w:spacing w:after="0" w:line="240" w:lineRule="auto"/>
              <w:ind w:left="360"/>
              <w:rPr>
                <w:b/>
                <w:color w:val="FF0000"/>
              </w:rPr>
            </w:pPr>
            <w:r w:rsidRPr="002B3B75">
              <w:rPr>
                <w:b/>
                <w:color w:val="FF0000"/>
              </w:rPr>
              <w:t>16.8g</w:t>
            </w:r>
          </w:p>
        </w:tc>
        <w:tc>
          <w:tcPr>
            <w:tcW w:w="1710" w:type="dxa"/>
          </w:tcPr>
          <w:p w14:paraId="53F4A5CA" w14:textId="77777777" w:rsidR="00454350" w:rsidRPr="002B3B75" w:rsidRDefault="00454350" w:rsidP="00DD4837">
            <w:pPr>
              <w:spacing w:after="0" w:line="240" w:lineRule="auto"/>
              <w:ind w:left="360"/>
              <w:rPr>
                <w:b/>
              </w:rPr>
            </w:pPr>
            <w:r w:rsidRPr="002B3B75">
              <w:rPr>
                <w:b/>
              </w:rPr>
              <w:t>16.8g</w:t>
            </w:r>
          </w:p>
        </w:tc>
        <w:tc>
          <w:tcPr>
            <w:tcW w:w="1710" w:type="dxa"/>
          </w:tcPr>
          <w:p w14:paraId="6B8924D3" w14:textId="77777777" w:rsidR="00454350" w:rsidRPr="002B3B75" w:rsidRDefault="00454350" w:rsidP="00DD4837">
            <w:pPr>
              <w:spacing w:after="0" w:line="240" w:lineRule="auto"/>
              <w:ind w:left="360"/>
              <w:rPr>
                <w:b/>
                <w:color w:val="00B050"/>
              </w:rPr>
            </w:pPr>
            <w:r w:rsidRPr="002B3B75">
              <w:rPr>
                <w:b/>
                <w:color w:val="00B050"/>
              </w:rPr>
              <w:t>16.8g</w:t>
            </w:r>
          </w:p>
        </w:tc>
      </w:tr>
      <w:tr w:rsidR="00454350" w14:paraId="700C6C2B" w14:textId="77777777" w:rsidTr="00DD4837">
        <w:tc>
          <w:tcPr>
            <w:tcW w:w="2790" w:type="dxa"/>
          </w:tcPr>
          <w:p w14:paraId="22971EA3" w14:textId="77777777" w:rsidR="00454350" w:rsidRDefault="00454350" w:rsidP="00DD4837">
            <w:pPr>
              <w:spacing w:after="0" w:line="240" w:lineRule="auto"/>
              <w:ind w:left="360"/>
            </w:pPr>
            <w:r>
              <w:t xml:space="preserve">Acrylamide, 40 % (19:1 </w:t>
            </w:r>
            <w:proofErr w:type="spellStart"/>
            <w:proofErr w:type="gramStart"/>
            <w:r>
              <w:t>acrylamide:bisacrylamide</w:t>
            </w:r>
            <w:proofErr w:type="spellEnd"/>
            <w:proofErr w:type="gramEnd"/>
            <w:r>
              <w:t>)</w:t>
            </w:r>
          </w:p>
          <w:p w14:paraId="1A7F1C59" w14:textId="77777777" w:rsidR="00454350" w:rsidRDefault="00454350" w:rsidP="00DD4837"/>
        </w:tc>
        <w:tc>
          <w:tcPr>
            <w:tcW w:w="2603" w:type="dxa"/>
          </w:tcPr>
          <w:p w14:paraId="196F409A" w14:textId="77777777" w:rsidR="00454350" w:rsidRDefault="00454350" w:rsidP="00DD4837">
            <w:pPr>
              <w:spacing w:after="0" w:line="240" w:lineRule="auto"/>
              <w:ind w:left="360"/>
            </w:pPr>
            <w:r>
              <w:t xml:space="preserve">12 % for longer </w:t>
            </w:r>
          </w:p>
          <w:p w14:paraId="5C0E053F" w14:textId="77777777" w:rsidR="00454350" w:rsidRDefault="00454350" w:rsidP="00DD4837">
            <w:pPr>
              <w:spacing w:after="0" w:line="240" w:lineRule="auto"/>
              <w:ind w:left="360"/>
            </w:pPr>
            <w:r>
              <w:t>20 % for shorter oligos</w:t>
            </w:r>
          </w:p>
        </w:tc>
        <w:tc>
          <w:tcPr>
            <w:tcW w:w="1620" w:type="dxa"/>
          </w:tcPr>
          <w:p w14:paraId="20EC2FA9" w14:textId="77777777" w:rsidR="00454350" w:rsidRPr="002B3B75" w:rsidRDefault="00454350" w:rsidP="00DD4837">
            <w:pPr>
              <w:spacing w:after="0" w:line="240" w:lineRule="auto"/>
              <w:ind w:left="360"/>
              <w:rPr>
                <w:b/>
                <w:color w:val="FF0000"/>
              </w:rPr>
            </w:pPr>
            <w:r w:rsidRPr="002B3B75">
              <w:rPr>
                <w:b/>
                <w:color w:val="FF0000"/>
              </w:rPr>
              <w:t>12 mL</w:t>
            </w:r>
          </w:p>
        </w:tc>
        <w:tc>
          <w:tcPr>
            <w:tcW w:w="1710" w:type="dxa"/>
          </w:tcPr>
          <w:p w14:paraId="1FED1DD8" w14:textId="77777777" w:rsidR="00454350" w:rsidRPr="002B3B75" w:rsidRDefault="00454350" w:rsidP="00DD4837">
            <w:pPr>
              <w:spacing w:after="0" w:line="240" w:lineRule="auto"/>
              <w:ind w:left="360"/>
              <w:rPr>
                <w:b/>
              </w:rPr>
            </w:pPr>
            <w:r w:rsidRPr="002B3B75">
              <w:rPr>
                <w:b/>
              </w:rPr>
              <w:t>10 mL</w:t>
            </w:r>
          </w:p>
        </w:tc>
        <w:tc>
          <w:tcPr>
            <w:tcW w:w="1710" w:type="dxa"/>
          </w:tcPr>
          <w:p w14:paraId="669EAAD4" w14:textId="77777777" w:rsidR="00454350" w:rsidRPr="002B3B75" w:rsidRDefault="00454350" w:rsidP="00DD4837">
            <w:pPr>
              <w:spacing w:after="0" w:line="240" w:lineRule="auto"/>
              <w:ind w:left="360"/>
              <w:rPr>
                <w:b/>
                <w:color w:val="00B050"/>
              </w:rPr>
            </w:pPr>
            <w:r w:rsidRPr="002B3B75">
              <w:rPr>
                <w:b/>
                <w:color w:val="00B050"/>
              </w:rPr>
              <w:t>6 mL</w:t>
            </w:r>
          </w:p>
        </w:tc>
      </w:tr>
      <w:tr w:rsidR="00454350" w14:paraId="215F9C7A" w14:textId="77777777" w:rsidTr="00DD4837">
        <w:tc>
          <w:tcPr>
            <w:tcW w:w="2790" w:type="dxa"/>
          </w:tcPr>
          <w:p w14:paraId="279E8FB4" w14:textId="77777777" w:rsidR="00454350" w:rsidRDefault="00454350" w:rsidP="00DD4837">
            <w:pPr>
              <w:spacing w:after="0" w:line="240" w:lineRule="auto"/>
              <w:ind w:left="360"/>
            </w:pPr>
            <w:r>
              <w:t>5x TBE (make sure there is no precipitation; always use new TBE</w:t>
            </w:r>
          </w:p>
        </w:tc>
        <w:tc>
          <w:tcPr>
            <w:tcW w:w="2603" w:type="dxa"/>
          </w:tcPr>
          <w:p w14:paraId="08FBBD64" w14:textId="77777777" w:rsidR="00454350" w:rsidRDefault="00454350" w:rsidP="00DD4837">
            <w:pPr>
              <w:spacing w:after="0" w:line="240" w:lineRule="auto"/>
              <w:ind w:left="360"/>
            </w:pPr>
            <w:r>
              <w:t>1x</w:t>
            </w:r>
          </w:p>
        </w:tc>
        <w:tc>
          <w:tcPr>
            <w:tcW w:w="1620" w:type="dxa"/>
          </w:tcPr>
          <w:p w14:paraId="3C9D665E" w14:textId="77777777" w:rsidR="00454350" w:rsidRPr="002B3B75" w:rsidRDefault="00454350" w:rsidP="00DD4837">
            <w:pPr>
              <w:spacing w:after="0" w:line="240" w:lineRule="auto"/>
              <w:ind w:left="360"/>
              <w:rPr>
                <w:b/>
                <w:color w:val="FF0000"/>
              </w:rPr>
            </w:pPr>
            <w:r>
              <w:rPr>
                <w:b/>
                <w:color w:val="FF0000"/>
              </w:rPr>
              <w:t>8</w:t>
            </w:r>
            <w:r w:rsidRPr="002B3B75">
              <w:rPr>
                <w:b/>
                <w:color w:val="FF0000"/>
              </w:rPr>
              <w:t xml:space="preserve"> mL</w:t>
            </w:r>
          </w:p>
        </w:tc>
        <w:tc>
          <w:tcPr>
            <w:tcW w:w="1710" w:type="dxa"/>
          </w:tcPr>
          <w:p w14:paraId="7D6CF119" w14:textId="77777777" w:rsidR="00454350" w:rsidRPr="002B3B75" w:rsidRDefault="00454350" w:rsidP="00DD4837">
            <w:pPr>
              <w:spacing w:after="0" w:line="240" w:lineRule="auto"/>
              <w:ind w:left="360"/>
              <w:rPr>
                <w:b/>
              </w:rPr>
            </w:pPr>
            <w:r>
              <w:rPr>
                <w:b/>
              </w:rPr>
              <w:t>8</w:t>
            </w:r>
            <w:r w:rsidRPr="002B3B75">
              <w:rPr>
                <w:b/>
              </w:rPr>
              <w:t xml:space="preserve"> mL</w:t>
            </w:r>
          </w:p>
        </w:tc>
        <w:tc>
          <w:tcPr>
            <w:tcW w:w="1710" w:type="dxa"/>
          </w:tcPr>
          <w:p w14:paraId="576A3AD3" w14:textId="77777777" w:rsidR="00454350" w:rsidRPr="002B3B75" w:rsidRDefault="00454350" w:rsidP="00DD4837">
            <w:pPr>
              <w:spacing w:after="0" w:line="240" w:lineRule="auto"/>
              <w:ind w:left="360"/>
              <w:rPr>
                <w:b/>
                <w:color w:val="00B050"/>
              </w:rPr>
            </w:pPr>
            <w:r>
              <w:rPr>
                <w:b/>
                <w:color w:val="00B050"/>
              </w:rPr>
              <w:t>8</w:t>
            </w:r>
            <w:r w:rsidRPr="002B3B75">
              <w:rPr>
                <w:b/>
                <w:color w:val="00B050"/>
              </w:rPr>
              <w:t xml:space="preserve"> mL</w:t>
            </w:r>
          </w:p>
        </w:tc>
      </w:tr>
      <w:tr w:rsidR="00454350" w14:paraId="50E463D2" w14:textId="77777777" w:rsidTr="00DD4837">
        <w:tc>
          <w:tcPr>
            <w:tcW w:w="2790" w:type="dxa"/>
          </w:tcPr>
          <w:p w14:paraId="6C02B668" w14:textId="77777777" w:rsidR="00454350" w:rsidRDefault="00454350" w:rsidP="00DD4837">
            <w:pPr>
              <w:spacing w:after="0" w:line="240" w:lineRule="auto"/>
              <w:ind w:left="360"/>
            </w:pPr>
            <w:r>
              <w:t>H</w:t>
            </w:r>
            <w:r w:rsidRPr="002B3B75">
              <w:rPr>
                <w:vertAlign w:val="subscript"/>
              </w:rPr>
              <w:t>2</w:t>
            </w:r>
            <w:r>
              <w:t>O</w:t>
            </w:r>
          </w:p>
        </w:tc>
        <w:tc>
          <w:tcPr>
            <w:tcW w:w="2603" w:type="dxa"/>
          </w:tcPr>
          <w:p w14:paraId="3F1C9590" w14:textId="77777777" w:rsidR="00454350" w:rsidRDefault="00454350" w:rsidP="00DD4837">
            <w:pPr>
              <w:spacing w:after="0" w:line="240" w:lineRule="auto"/>
              <w:ind w:left="360"/>
            </w:pPr>
          </w:p>
        </w:tc>
        <w:tc>
          <w:tcPr>
            <w:tcW w:w="1620" w:type="dxa"/>
          </w:tcPr>
          <w:p w14:paraId="46A290CD" w14:textId="4BE1C605" w:rsidR="00454350" w:rsidRPr="002B3B75" w:rsidRDefault="001633B2" w:rsidP="00DD4837">
            <w:pPr>
              <w:spacing w:after="0" w:line="240" w:lineRule="auto"/>
              <w:ind w:left="360"/>
              <w:rPr>
                <w:b/>
                <w:color w:val="FF0000"/>
              </w:rPr>
            </w:pPr>
            <w:r>
              <w:rPr>
                <w:b/>
                <w:color w:val="FF0000"/>
              </w:rPr>
              <w:t>1</w:t>
            </w:r>
            <w:r w:rsidR="00454350" w:rsidRPr="002B3B75">
              <w:rPr>
                <w:b/>
                <w:color w:val="FF0000"/>
              </w:rPr>
              <w:t xml:space="preserve"> mL</w:t>
            </w:r>
          </w:p>
        </w:tc>
        <w:tc>
          <w:tcPr>
            <w:tcW w:w="1710" w:type="dxa"/>
          </w:tcPr>
          <w:p w14:paraId="6599D9FE" w14:textId="7178871D" w:rsidR="00454350" w:rsidRPr="002B3B75" w:rsidRDefault="001633B2" w:rsidP="00DD4837">
            <w:pPr>
              <w:spacing w:after="0" w:line="240" w:lineRule="auto"/>
              <w:ind w:left="360"/>
              <w:rPr>
                <w:b/>
              </w:rPr>
            </w:pPr>
            <w:r>
              <w:rPr>
                <w:b/>
              </w:rPr>
              <w:t xml:space="preserve">3 </w:t>
            </w:r>
            <w:r w:rsidR="00DD4837">
              <w:rPr>
                <w:b/>
              </w:rPr>
              <w:t>mL</w:t>
            </w:r>
          </w:p>
        </w:tc>
        <w:tc>
          <w:tcPr>
            <w:tcW w:w="1710" w:type="dxa"/>
          </w:tcPr>
          <w:p w14:paraId="5A4CD717" w14:textId="1E415A1B" w:rsidR="00454350" w:rsidRPr="002B3B75" w:rsidRDefault="001633B2" w:rsidP="00DD4837">
            <w:pPr>
              <w:spacing w:after="0" w:line="240" w:lineRule="auto"/>
              <w:ind w:left="360"/>
              <w:rPr>
                <w:b/>
                <w:color w:val="00B050"/>
              </w:rPr>
            </w:pPr>
            <w:r>
              <w:rPr>
                <w:b/>
                <w:color w:val="00B050"/>
              </w:rPr>
              <w:t xml:space="preserve">7 </w:t>
            </w:r>
            <w:r w:rsidR="00454350" w:rsidRPr="002B3B75">
              <w:rPr>
                <w:b/>
                <w:color w:val="00B050"/>
              </w:rPr>
              <w:t>mL</w:t>
            </w:r>
          </w:p>
        </w:tc>
      </w:tr>
      <w:tr w:rsidR="00454350" w14:paraId="0F46E00E" w14:textId="77777777" w:rsidTr="00DD4837">
        <w:tc>
          <w:tcPr>
            <w:tcW w:w="10433" w:type="dxa"/>
            <w:gridSpan w:val="5"/>
          </w:tcPr>
          <w:p w14:paraId="64D660A7" w14:textId="42A4B277" w:rsidR="00454350" w:rsidRDefault="00454350" w:rsidP="00DD4837">
            <w:pPr>
              <w:spacing w:after="0" w:line="240" w:lineRule="auto"/>
              <w:ind w:left="360"/>
            </w:pPr>
            <w:r>
              <w:t xml:space="preserve">Add all the components, stir bar and set the beaker on the heater (set to 50 °C) until all the urea dissolves. Be </w:t>
            </w:r>
            <w:r w:rsidR="00CA34CC">
              <w:rPr>
                <w:b/>
              </w:rPr>
              <w:t xml:space="preserve">extra </w:t>
            </w:r>
            <w:r>
              <w:t xml:space="preserve">careful as </w:t>
            </w:r>
            <w:r w:rsidR="00CA34CC">
              <w:t xml:space="preserve">to not </w:t>
            </w:r>
            <w:r>
              <w:t>overheat</w:t>
            </w:r>
            <w:r w:rsidR="00CA34CC">
              <w:t xml:space="preserve"> (beaker should only be slightly warm to the touch)</w:t>
            </w:r>
            <w:r>
              <w:t xml:space="preserve">. </w:t>
            </w:r>
            <w:r w:rsidR="00CA34CC">
              <w:t xml:space="preserve">The solution being too warm will cause APS to instantly polymerize the acrylamide. </w:t>
            </w:r>
            <w:r>
              <w:t>Then add:</w:t>
            </w:r>
          </w:p>
        </w:tc>
      </w:tr>
      <w:tr w:rsidR="00454350" w14:paraId="2ACF760B" w14:textId="77777777" w:rsidTr="00DD4837">
        <w:tc>
          <w:tcPr>
            <w:tcW w:w="2790" w:type="dxa"/>
          </w:tcPr>
          <w:p w14:paraId="2D0E3674" w14:textId="77777777" w:rsidR="00454350" w:rsidRDefault="00454350" w:rsidP="00DD4837">
            <w:pPr>
              <w:spacing w:after="0" w:line="240" w:lineRule="auto"/>
              <w:ind w:left="360"/>
            </w:pPr>
            <w:r>
              <w:t>APS, 10%</w:t>
            </w:r>
          </w:p>
        </w:tc>
        <w:tc>
          <w:tcPr>
            <w:tcW w:w="2603" w:type="dxa"/>
          </w:tcPr>
          <w:p w14:paraId="154BD0EB" w14:textId="77777777" w:rsidR="00454350" w:rsidRDefault="00454350" w:rsidP="00DD4837">
            <w:pPr>
              <w:spacing w:after="0" w:line="240" w:lineRule="auto"/>
              <w:ind w:left="360"/>
            </w:pPr>
            <w:r>
              <w:t>Dilutions 1</w:t>
            </w:r>
            <w:r w:rsidRPr="002B3B75">
              <w:rPr>
                <w:rFonts w:ascii="Cardo" w:eastAsia="Cardo" w:hAnsi="Cardo" w:cs="Cardo"/>
              </w:rPr>
              <w:t>→10</w:t>
            </w:r>
          </w:p>
        </w:tc>
        <w:tc>
          <w:tcPr>
            <w:tcW w:w="1620" w:type="dxa"/>
          </w:tcPr>
          <w:p w14:paraId="189A7382" w14:textId="7B1C0BF1" w:rsidR="00454350" w:rsidRPr="002B3B75" w:rsidRDefault="00454350" w:rsidP="00DD4837">
            <w:pPr>
              <w:spacing w:after="0" w:line="240" w:lineRule="auto"/>
              <w:ind w:left="360"/>
              <w:rPr>
                <w:b/>
                <w:color w:val="FF0000"/>
              </w:rPr>
            </w:pPr>
            <w:r w:rsidRPr="002B3B75">
              <w:rPr>
                <w:b/>
                <w:color w:val="FF0000"/>
              </w:rPr>
              <w:t>0.4 m</w:t>
            </w:r>
            <w:r w:rsidR="001633B2">
              <w:rPr>
                <w:b/>
                <w:color w:val="FF0000"/>
              </w:rPr>
              <w:t>L</w:t>
            </w:r>
          </w:p>
        </w:tc>
        <w:tc>
          <w:tcPr>
            <w:tcW w:w="1710" w:type="dxa"/>
          </w:tcPr>
          <w:p w14:paraId="784DF52D" w14:textId="17D21AF2" w:rsidR="00454350" w:rsidRPr="002B3B75" w:rsidRDefault="00454350" w:rsidP="00DD4837">
            <w:pPr>
              <w:spacing w:after="0" w:line="240" w:lineRule="auto"/>
              <w:ind w:left="360"/>
              <w:rPr>
                <w:b/>
              </w:rPr>
            </w:pPr>
            <w:r w:rsidRPr="002B3B75">
              <w:rPr>
                <w:b/>
              </w:rPr>
              <w:t>0.4 m</w:t>
            </w:r>
            <w:r w:rsidR="001633B2">
              <w:rPr>
                <w:b/>
              </w:rPr>
              <w:t>L</w:t>
            </w:r>
          </w:p>
        </w:tc>
        <w:tc>
          <w:tcPr>
            <w:tcW w:w="1710" w:type="dxa"/>
          </w:tcPr>
          <w:p w14:paraId="61C3ACF7" w14:textId="77777777" w:rsidR="00454350" w:rsidRPr="00DD4837" w:rsidRDefault="00454350" w:rsidP="00DD4837">
            <w:pPr>
              <w:spacing w:after="0" w:line="240" w:lineRule="auto"/>
              <w:ind w:left="360"/>
              <w:rPr>
                <w:b/>
                <w:color w:val="00B050"/>
              </w:rPr>
            </w:pPr>
            <w:r w:rsidRPr="00DD4837">
              <w:rPr>
                <w:b/>
                <w:color w:val="00B050"/>
              </w:rPr>
              <w:t>0.4 mL</w:t>
            </w:r>
          </w:p>
        </w:tc>
      </w:tr>
      <w:tr w:rsidR="00454350" w14:paraId="69CCF266" w14:textId="77777777" w:rsidTr="00DD4837">
        <w:tc>
          <w:tcPr>
            <w:tcW w:w="2790" w:type="dxa"/>
          </w:tcPr>
          <w:p w14:paraId="73F05690" w14:textId="77777777" w:rsidR="00454350" w:rsidRDefault="00454350" w:rsidP="00DD4837">
            <w:pPr>
              <w:spacing w:after="0" w:line="240" w:lineRule="auto"/>
              <w:ind w:left="360"/>
            </w:pPr>
            <w:r>
              <w:t>TMED</w:t>
            </w:r>
          </w:p>
        </w:tc>
        <w:tc>
          <w:tcPr>
            <w:tcW w:w="2603" w:type="dxa"/>
          </w:tcPr>
          <w:p w14:paraId="6635D8F5" w14:textId="77777777" w:rsidR="00454350" w:rsidRDefault="00454350" w:rsidP="00DD4837">
            <w:pPr>
              <w:spacing w:after="0" w:line="240" w:lineRule="auto"/>
              <w:ind w:left="360"/>
            </w:pPr>
            <w:r w:rsidRPr="002B3B75">
              <w:rPr>
                <w:rFonts w:ascii="Cardo" w:eastAsia="Cardo" w:hAnsi="Cardo" w:cs="Cardo"/>
              </w:rPr>
              <w:t>Dilutions 1→100</w:t>
            </w:r>
          </w:p>
        </w:tc>
        <w:tc>
          <w:tcPr>
            <w:tcW w:w="1620" w:type="dxa"/>
          </w:tcPr>
          <w:p w14:paraId="3AD11894" w14:textId="77777777" w:rsidR="00454350" w:rsidRPr="002B3B75" w:rsidRDefault="00454350" w:rsidP="00DD4837">
            <w:pPr>
              <w:spacing w:after="0" w:line="240" w:lineRule="auto"/>
              <w:ind w:left="360"/>
              <w:rPr>
                <w:b/>
                <w:color w:val="FF0000"/>
              </w:rPr>
            </w:pPr>
            <w:r w:rsidRPr="002B3B75">
              <w:rPr>
                <w:b/>
                <w:color w:val="FF0000"/>
              </w:rPr>
              <w:t xml:space="preserve">40 </w:t>
            </w:r>
            <w:proofErr w:type="spellStart"/>
            <w:r w:rsidRPr="002B3B75">
              <w:rPr>
                <w:b/>
                <w:color w:val="FF0000"/>
              </w:rPr>
              <w:t>μL</w:t>
            </w:r>
            <w:proofErr w:type="spellEnd"/>
          </w:p>
        </w:tc>
        <w:tc>
          <w:tcPr>
            <w:tcW w:w="1710" w:type="dxa"/>
          </w:tcPr>
          <w:p w14:paraId="02A8BCFC" w14:textId="77777777" w:rsidR="00454350" w:rsidRPr="002B3B75" w:rsidRDefault="00454350" w:rsidP="00DD4837">
            <w:pPr>
              <w:spacing w:after="0" w:line="240" w:lineRule="auto"/>
              <w:ind w:left="360"/>
              <w:rPr>
                <w:b/>
              </w:rPr>
            </w:pPr>
            <w:r w:rsidRPr="002B3B75">
              <w:rPr>
                <w:b/>
              </w:rPr>
              <w:t xml:space="preserve">40 </w:t>
            </w:r>
            <w:proofErr w:type="spellStart"/>
            <w:r w:rsidRPr="002B3B75">
              <w:rPr>
                <w:b/>
              </w:rPr>
              <w:t>μL</w:t>
            </w:r>
            <w:proofErr w:type="spellEnd"/>
          </w:p>
        </w:tc>
        <w:tc>
          <w:tcPr>
            <w:tcW w:w="1710" w:type="dxa"/>
          </w:tcPr>
          <w:p w14:paraId="1E66D382" w14:textId="77777777" w:rsidR="00454350" w:rsidRPr="00DD4837" w:rsidRDefault="00454350" w:rsidP="00DD4837">
            <w:pPr>
              <w:spacing w:after="0" w:line="240" w:lineRule="auto"/>
              <w:ind w:left="360"/>
              <w:rPr>
                <w:b/>
                <w:color w:val="00B050"/>
              </w:rPr>
            </w:pPr>
            <w:r w:rsidRPr="00DD4837">
              <w:rPr>
                <w:b/>
                <w:color w:val="00B050"/>
              </w:rPr>
              <w:t xml:space="preserve">40 </w:t>
            </w:r>
            <w:proofErr w:type="spellStart"/>
            <w:r w:rsidRPr="00DD4837">
              <w:rPr>
                <w:b/>
                <w:color w:val="00B050"/>
              </w:rPr>
              <w:t>μL</w:t>
            </w:r>
            <w:proofErr w:type="spellEnd"/>
          </w:p>
        </w:tc>
      </w:tr>
    </w:tbl>
    <w:p w14:paraId="767C3188" w14:textId="119F934D" w:rsidR="00454350" w:rsidRDefault="00454350" w:rsidP="00454350">
      <w:pPr>
        <w:spacing w:after="0" w:line="240" w:lineRule="auto"/>
        <w:ind w:left="360"/>
      </w:pPr>
      <w:r>
        <w:t xml:space="preserve">*larger </w:t>
      </w:r>
      <w:proofErr w:type="gramStart"/>
      <w:r>
        <w:t>amount</w:t>
      </w:r>
      <w:proofErr w:type="gramEnd"/>
      <w:r>
        <w:t xml:space="preserve"> of ions might slow down the gel.</w:t>
      </w:r>
    </w:p>
    <w:p w14:paraId="15851FA0" w14:textId="77777777" w:rsidR="00454350" w:rsidRDefault="00454350" w:rsidP="00454350">
      <w:pPr>
        <w:spacing w:after="0" w:line="240" w:lineRule="auto"/>
      </w:pPr>
    </w:p>
    <w:p w14:paraId="2F1B0249" w14:textId="77777777" w:rsidR="00454350" w:rsidRDefault="00454350" w:rsidP="00454350">
      <w:pPr>
        <w:spacing w:after="288" w:line="240" w:lineRule="auto"/>
        <w:ind w:left="360"/>
      </w:pPr>
      <w:r>
        <w:t xml:space="preserve">Work fast now as the polymerization happens quite rapidly. Add the solution in between the glass plates using a 25 ml pipet, up to just below the middle of the top edge of the notched plate. </w:t>
      </w:r>
    </w:p>
    <w:p w14:paraId="3A337719" w14:textId="77777777" w:rsidR="00454350" w:rsidRDefault="00454350" w:rsidP="00454350">
      <w:pPr>
        <w:spacing w:after="288" w:line="240" w:lineRule="auto"/>
        <w:ind w:left="360"/>
      </w:pPr>
      <w:r>
        <w:t xml:space="preserve">Slide in the comb. Push down one side of the comb to make contact with the gel before the other side. This way, you are less likely to trap air bubbles under the comb. </w:t>
      </w:r>
    </w:p>
    <w:p w14:paraId="636CC5FC" w14:textId="77777777" w:rsidR="00454350" w:rsidRDefault="00454350" w:rsidP="00454350">
      <w:pPr>
        <w:spacing w:after="288" w:line="240" w:lineRule="auto"/>
        <w:ind w:left="360"/>
      </w:pPr>
      <w:r>
        <w:t xml:space="preserve">Wait for 30 min for your gel to set. (Keep the leftover gel solution in your flask to help you decide whether the gel has settled. After 30 min, there will likely be a small amount of liquid on top of a thick gel in the Erlenmeyer – this is correct). </w:t>
      </w:r>
    </w:p>
    <w:p w14:paraId="5EF42E76" w14:textId="5214E4F4" w:rsidR="00454350" w:rsidRDefault="00454350" w:rsidP="00DD4837">
      <w:pPr>
        <w:spacing w:after="288"/>
        <w:ind w:left="360"/>
      </w:pPr>
      <w:r>
        <w:t xml:space="preserve">While gel solidifies prepare </w:t>
      </w:r>
      <w:r>
        <w:rPr>
          <w:b/>
        </w:rPr>
        <w:t>700 mL of</w:t>
      </w:r>
      <w:r>
        <w:t xml:space="preserve"> </w:t>
      </w:r>
      <w:r>
        <w:rPr>
          <w:b/>
        </w:rPr>
        <w:t xml:space="preserve">running buffer </w:t>
      </w:r>
      <w:r>
        <w:t>that contains</w:t>
      </w:r>
      <w:r w:rsidR="003C0D58">
        <w:t xml:space="preserve"> only</w:t>
      </w:r>
      <w:r>
        <w:rPr>
          <w:b/>
        </w:rPr>
        <w:t xml:space="preserve"> </w:t>
      </w:r>
      <w:r w:rsidR="00DD4837">
        <w:t xml:space="preserve">1xTBE (140 mL </w:t>
      </w:r>
      <w:r w:rsidR="00A76F31">
        <w:t xml:space="preserve">of </w:t>
      </w:r>
      <w:r w:rsidR="00DD4837">
        <w:t>5x TBE then bring up to final volume).</w:t>
      </w:r>
    </w:p>
    <w:p w14:paraId="58A73D82" w14:textId="77777777" w:rsidR="00454350" w:rsidRDefault="00454350" w:rsidP="00454350">
      <w:pPr>
        <w:spacing w:after="288" w:line="240" w:lineRule="auto"/>
        <w:ind w:left="360"/>
      </w:pPr>
      <w:r>
        <w:t xml:space="preserve">When gel solidified, take the “glass sandwich” out of the bag. Clean any solidified gel on the top of glass plates. Gently lift the comb up and out, watching for signs of well collapse. Have a </w:t>
      </w:r>
      <w:r w:rsidRPr="00EC1E39">
        <w:rPr>
          <w:b/>
        </w:rPr>
        <w:t>syringe</w:t>
      </w:r>
      <w:r>
        <w:t xml:space="preserve"> ready to flush the wells with running buffer to prevent further polymerization.</w:t>
      </w:r>
    </w:p>
    <w:p w14:paraId="22EF797F" w14:textId="1D5FBF60" w:rsidR="00454350" w:rsidRDefault="00454350" w:rsidP="00454350">
      <w:pPr>
        <w:spacing w:after="288" w:line="240" w:lineRule="auto"/>
        <w:ind w:left="360"/>
      </w:pPr>
      <w:r>
        <w:t xml:space="preserve">Number the wells with your sample numbers or names. This will make your sample loading easier. Now put gel into the gel running apparatus (connect to water bath hoses if running gel below RT). Rinse the wells three times under tap with DI water to get rid of the unpolymerized </w:t>
      </w:r>
      <w:r w:rsidR="003C0D58">
        <w:t xml:space="preserve">acrylamide. I recommend using </w:t>
      </w:r>
      <w:r>
        <w:t>a syringe filled with your running buffer. The syringe needle goes all the way into the well, and works better flushing out the guck, especially in a urea denature gel.</w:t>
      </w:r>
    </w:p>
    <w:p w14:paraId="5814CBBC" w14:textId="77777777" w:rsidR="00454350" w:rsidRDefault="00454350" w:rsidP="00454350">
      <w:pPr>
        <w:spacing w:after="288" w:line="240" w:lineRule="auto"/>
        <w:ind w:left="360"/>
      </w:pPr>
      <w:r>
        <w:t>Press the black holder panels all the way down to the glass plates and screw the knobs gently. Repeat on the other side (or use the blocking plate if you are running one gel only, in which case screw the knobs down tightly).</w:t>
      </w:r>
    </w:p>
    <w:p w14:paraId="30D8D9E4" w14:textId="77777777" w:rsidR="00454350" w:rsidRDefault="00454350" w:rsidP="00454350">
      <w:pPr>
        <w:spacing w:after="288" w:line="240" w:lineRule="auto"/>
        <w:ind w:left="360"/>
      </w:pPr>
      <w:r>
        <w:t xml:space="preserve">Pour in your running buffer into upper buffer chamber only, if no leak happens, keep pouring until </w:t>
      </w:r>
      <w:r>
        <w:rPr>
          <w:b/>
        </w:rPr>
        <w:t xml:space="preserve">all wires </w:t>
      </w:r>
      <w:r>
        <w:rPr>
          <w:b/>
        </w:rPr>
        <w:lastRenderedPageBreak/>
        <w:t>are submerged</w:t>
      </w:r>
      <w:r>
        <w:t xml:space="preserve"> and all wells are refilled with the running buffer.</w:t>
      </w:r>
    </w:p>
    <w:p w14:paraId="0A2BDD91" w14:textId="57310597" w:rsidR="00454350" w:rsidRDefault="00454350" w:rsidP="00454350">
      <w:pPr>
        <w:spacing w:after="288" w:line="240" w:lineRule="auto"/>
        <w:ind w:left="360"/>
      </w:pPr>
      <w:r>
        <w:t xml:space="preserve">Pre-migrate for at least </w:t>
      </w:r>
      <w:r>
        <w:rPr>
          <w:b/>
        </w:rPr>
        <w:t>30 min</w:t>
      </w:r>
      <w:r>
        <w:t xml:space="preserve"> setting the power supply to </w:t>
      </w:r>
      <w:r w:rsidR="00A76F31">
        <w:rPr>
          <w:b/>
        </w:rPr>
        <w:t>300</w:t>
      </w:r>
      <w:r>
        <w:rPr>
          <w:b/>
        </w:rPr>
        <w:t xml:space="preserve"> V</w:t>
      </w:r>
      <w:r>
        <w:t>. (Once you press the “run” button, look for bubbles that are released off the wires. This is the sign that your gel is running)</w:t>
      </w:r>
    </w:p>
    <w:p w14:paraId="4FDFC011" w14:textId="7AFBB8BC" w:rsidR="00454350" w:rsidRDefault="00454350" w:rsidP="003C0D58">
      <w:pPr>
        <w:spacing w:after="0" w:line="240" w:lineRule="auto"/>
        <w:ind w:left="360"/>
      </w:pPr>
      <w:r>
        <w:t>After pre-migrating, wash the wells once more (especially</w:t>
      </w:r>
      <w:r w:rsidR="00A76F31">
        <w:t xml:space="preserve"> important for denaturing gels). Make sure to </w:t>
      </w:r>
      <w:r w:rsidR="00A76F31" w:rsidRPr="002B3B75">
        <w:rPr>
          <w:b/>
          <w:u w:val="single"/>
        </w:rPr>
        <w:t>prewash</w:t>
      </w:r>
      <w:r w:rsidR="00A76F31">
        <w:t xml:space="preserve"> the wells after </w:t>
      </w:r>
      <w:proofErr w:type="spellStart"/>
      <w:r w:rsidR="00A76F31">
        <w:t>prerun</w:t>
      </w:r>
      <w:proofErr w:type="spellEnd"/>
      <w:r w:rsidR="00A76F31">
        <w:t xml:space="preserve"> and </w:t>
      </w:r>
      <w:r w:rsidR="00A76F31" w:rsidRPr="003C0D58">
        <w:rPr>
          <w:highlight w:val="yellow"/>
        </w:rPr>
        <w:t>immediately</w:t>
      </w:r>
      <w:r w:rsidR="00A76F31">
        <w:t xml:space="preserve"> before loading your samples as they will be full of urea and the sample would not be able to settle properly</w:t>
      </w:r>
      <w:r w:rsidR="003C0D58">
        <w:t xml:space="preserve">. </w:t>
      </w:r>
      <w:r w:rsidR="001D7482">
        <w:t xml:space="preserve">Wash until urea can no longer be seen being displaced from the well. This usually means </w:t>
      </w:r>
      <w:r w:rsidR="003C0D58">
        <w:t>P</w:t>
      </w:r>
      <w:r w:rsidR="00A76F31">
        <w:t>rewash</w:t>
      </w:r>
      <w:r w:rsidR="001D7482">
        <w:t>ing</w:t>
      </w:r>
      <w:r w:rsidR="00A76F31">
        <w:t xml:space="preserve"> at least 2 times.</w:t>
      </w:r>
      <w:r w:rsidR="00CA34CC">
        <w:t xml:space="preserve"> </w:t>
      </w:r>
    </w:p>
    <w:p w14:paraId="6955DE65" w14:textId="77777777" w:rsidR="003C0D58" w:rsidRDefault="003C0D58" w:rsidP="003C0D58">
      <w:pPr>
        <w:spacing w:after="0" w:line="240" w:lineRule="auto"/>
        <w:ind w:left="360"/>
      </w:pPr>
    </w:p>
    <w:p w14:paraId="55D83573" w14:textId="4A63C2B0" w:rsidR="00454350" w:rsidRDefault="00454350" w:rsidP="003C0D58">
      <w:pPr>
        <w:spacing w:after="0" w:line="240" w:lineRule="auto"/>
        <w:ind w:left="360"/>
        <w:contextualSpacing/>
      </w:pPr>
      <w:r>
        <w:t xml:space="preserve">Load your samples (Preferably with P10) and run the gel. (Try to minimize the time from beginning loading to running, so your samples won’t diffuse as much) Typical gel run parameters are </w:t>
      </w:r>
      <w:r w:rsidR="00A76F31">
        <w:rPr>
          <w:b/>
        </w:rPr>
        <w:t>300</w:t>
      </w:r>
      <w:r>
        <w:rPr>
          <w:b/>
        </w:rPr>
        <w:t xml:space="preserve"> V</w:t>
      </w:r>
      <w:r w:rsidR="00A76F31">
        <w:rPr>
          <w:b/>
        </w:rPr>
        <w:t xml:space="preserve"> (maximum voltage)</w:t>
      </w:r>
      <w:r w:rsidR="00A76F31">
        <w:t xml:space="preserve"> for </w:t>
      </w:r>
      <w:r>
        <w:rPr>
          <w:b/>
        </w:rPr>
        <w:t>120 min</w:t>
      </w:r>
      <w:r w:rsidR="00A76F31">
        <w:t>.</w:t>
      </w:r>
      <w:r>
        <w:t xml:space="preserve"> </w:t>
      </w:r>
    </w:p>
    <w:p w14:paraId="25044221" w14:textId="77777777" w:rsidR="00454350" w:rsidRDefault="00454350" w:rsidP="00A76F31">
      <w:pPr>
        <w:spacing w:after="0"/>
        <w:contextualSpacing/>
        <w:rPr>
          <w:b/>
        </w:rPr>
      </w:pPr>
    </w:p>
    <w:p w14:paraId="2F69AD2D" w14:textId="77777777" w:rsidR="00454350" w:rsidRDefault="00454350" w:rsidP="00454350">
      <w:pPr>
        <w:spacing w:after="0"/>
        <w:ind w:left="360"/>
        <w:contextualSpacing/>
      </w:pPr>
      <w:r>
        <w:rPr>
          <w:b/>
        </w:rPr>
        <w:t>Staining the gel using Stains All</w:t>
      </w:r>
    </w:p>
    <w:p w14:paraId="0425723D" w14:textId="77777777" w:rsidR="00454350" w:rsidRDefault="00454350" w:rsidP="00454350">
      <w:pPr>
        <w:spacing w:after="0"/>
        <w:ind w:left="360"/>
        <w:contextualSpacing/>
      </w:pPr>
      <w:r>
        <w:t>Filter the Stains All solution just before the end of your gel run.</w:t>
      </w:r>
    </w:p>
    <w:p w14:paraId="2B9C4E4D" w14:textId="77777777" w:rsidR="00454350" w:rsidRDefault="00454350" w:rsidP="00454350">
      <w:pPr>
        <w:spacing w:after="0"/>
        <w:ind w:left="360"/>
        <w:contextualSpacing/>
      </w:pPr>
    </w:p>
    <w:p w14:paraId="2674A608" w14:textId="77777777" w:rsidR="00454350" w:rsidRDefault="00454350" w:rsidP="00454350">
      <w:pPr>
        <w:spacing w:after="0"/>
        <w:ind w:left="360"/>
        <w:contextualSpacing/>
      </w:pPr>
      <w:r>
        <w:t>Disconnect the wires from the power supply and bring the gel tower and tray to the sink. Dump the buffer.</w:t>
      </w:r>
    </w:p>
    <w:p w14:paraId="64125460" w14:textId="77777777" w:rsidR="00454350" w:rsidRDefault="00454350" w:rsidP="00454350">
      <w:pPr>
        <w:spacing w:after="0"/>
        <w:ind w:left="360"/>
        <w:contextualSpacing/>
      </w:pPr>
    </w:p>
    <w:p w14:paraId="2E3BCE0D" w14:textId="77777777" w:rsidR="00454350" w:rsidRDefault="00454350" w:rsidP="00454350">
      <w:pPr>
        <w:spacing w:after="0"/>
        <w:ind w:left="360"/>
        <w:contextualSpacing/>
      </w:pPr>
      <w:r>
        <w:t xml:space="preserve">Unscrew and remove the gel. Rinse it under DI water. </w:t>
      </w:r>
    </w:p>
    <w:p w14:paraId="475CA722" w14:textId="77777777" w:rsidR="00454350" w:rsidRDefault="00454350" w:rsidP="00454350">
      <w:pPr>
        <w:spacing w:after="0"/>
        <w:ind w:left="360"/>
        <w:contextualSpacing/>
      </w:pPr>
    </w:p>
    <w:p w14:paraId="48849818" w14:textId="77777777" w:rsidR="00454350" w:rsidRDefault="00454350" w:rsidP="00454350">
      <w:pPr>
        <w:spacing w:after="0"/>
        <w:ind w:left="360"/>
        <w:contextualSpacing/>
      </w:pPr>
      <w:r>
        <w:t>Remove the spacer strips without pressing them further into the gel.</w:t>
      </w:r>
    </w:p>
    <w:p w14:paraId="21CBBB45" w14:textId="77777777" w:rsidR="00454350" w:rsidRDefault="00454350" w:rsidP="00454350">
      <w:pPr>
        <w:spacing w:after="0"/>
        <w:ind w:left="360"/>
        <w:contextualSpacing/>
      </w:pPr>
    </w:p>
    <w:p w14:paraId="1FDC04C9" w14:textId="77777777" w:rsidR="00454350" w:rsidRDefault="00454350" w:rsidP="00454350">
      <w:pPr>
        <w:spacing w:after="0"/>
        <w:ind w:left="360"/>
        <w:contextualSpacing/>
      </w:pPr>
      <w:r>
        <w:t>Pry the glass plates apart (this will be very hard to get going, but as soon as it starts will become much easier – do NOT rip the gel apart!</w:t>
      </w:r>
    </w:p>
    <w:p w14:paraId="56B047C5" w14:textId="77777777" w:rsidR="00454350" w:rsidRDefault="00454350" w:rsidP="00454350">
      <w:pPr>
        <w:spacing w:after="0"/>
        <w:ind w:left="360"/>
        <w:contextualSpacing/>
      </w:pPr>
    </w:p>
    <w:p w14:paraId="43BE259C" w14:textId="77777777" w:rsidR="00454350" w:rsidRDefault="00454350" w:rsidP="00454350">
      <w:pPr>
        <w:spacing w:after="0"/>
        <w:ind w:left="360"/>
        <w:contextualSpacing/>
      </w:pPr>
      <w:r>
        <w:t xml:space="preserve">DO NOT touch the gel with your bare hands or gloves – </w:t>
      </w:r>
      <w:proofErr w:type="spellStart"/>
      <w:r>
        <w:t>polynitrile</w:t>
      </w:r>
      <w:proofErr w:type="spellEnd"/>
      <w:r>
        <w:t xml:space="preserve"> stains the gel yellow</w:t>
      </w:r>
    </w:p>
    <w:p w14:paraId="70B5B1BA" w14:textId="77777777" w:rsidR="00454350" w:rsidRDefault="00454350" w:rsidP="00454350">
      <w:pPr>
        <w:spacing w:after="0"/>
        <w:ind w:left="360"/>
        <w:contextualSpacing/>
      </w:pPr>
    </w:p>
    <w:p w14:paraId="05702788" w14:textId="77777777" w:rsidR="00454350" w:rsidRDefault="00454350" w:rsidP="00454350">
      <w:pPr>
        <w:spacing w:after="0"/>
        <w:ind w:left="360"/>
        <w:contextualSpacing/>
      </w:pPr>
      <w:r>
        <w:t>Cut the lanes off of the gel with one of the plastic spacers, leaving about ½ cm left to tell where each lane is</w:t>
      </w:r>
    </w:p>
    <w:p w14:paraId="3AA942BB" w14:textId="77777777" w:rsidR="00454350" w:rsidRDefault="00454350" w:rsidP="00454350">
      <w:pPr>
        <w:spacing w:after="0"/>
        <w:ind w:left="360"/>
        <w:contextualSpacing/>
      </w:pPr>
    </w:p>
    <w:p w14:paraId="0A71CDDD" w14:textId="77777777" w:rsidR="00454350" w:rsidRDefault="00454350" w:rsidP="00454350">
      <w:pPr>
        <w:spacing w:after="0"/>
        <w:ind w:left="360"/>
        <w:contextualSpacing/>
      </w:pPr>
      <w:r>
        <w:t>Rinse out the gel tray that previously held the gel running tower and rinse the gel off the glass plate into the tray using DI. Rinse the gel 3x under DI water, dumping the water out each time</w:t>
      </w:r>
    </w:p>
    <w:p w14:paraId="4AF3472A" w14:textId="77777777" w:rsidR="00454350" w:rsidRDefault="00454350" w:rsidP="00454350">
      <w:pPr>
        <w:spacing w:after="0"/>
        <w:ind w:left="360"/>
        <w:contextualSpacing/>
      </w:pPr>
    </w:p>
    <w:p w14:paraId="71FDF2B7" w14:textId="77777777" w:rsidR="00454350" w:rsidRDefault="00454350" w:rsidP="00454350">
      <w:pPr>
        <w:spacing w:after="0"/>
        <w:ind w:left="360"/>
        <w:contextualSpacing/>
      </w:pPr>
      <w:r>
        <w:t>Pour just enough STAINS-ALL into the gel tray to cover the gel entirely. Cover with aluminum foil and let sit for 15 minutes</w:t>
      </w:r>
    </w:p>
    <w:p w14:paraId="36555C3A" w14:textId="77777777" w:rsidR="00454350" w:rsidRDefault="00454350" w:rsidP="00454350">
      <w:pPr>
        <w:spacing w:after="0"/>
        <w:ind w:left="360"/>
        <w:contextualSpacing/>
      </w:pPr>
    </w:p>
    <w:p w14:paraId="03BFFFC1" w14:textId="77777777" w:rsidR="00454350" w:rsidRDefault="00454350" w:rsidP="00454350">
      <w:pPr>
        <w:spacing w:after="0"/>
        <w:ind w:left="360"/>
        <w:contextualSpacing/>
      </w:pPr>
      <w:r>
        <w:t xml:space="preserve">Pipette the STAINS-ALL back into the storage bottle. Rinse the gel 3x under DI water, </w:t>
      </w:r>
      <w:proofErr w:type="gramStart"/>
      <w:r>
        <w:t>still  in</w:t>
      </w:r>
      <w:proofErr w:type="gramEnd"/>
      <w:r>
        <w:t xml:space="preserve"> the tray</w:t>
      </w:r>
    </w:p>
    <w:p w14:paraId="77C34B0E" w14:textId="77777777" w:rsidR="00454350" w:rsidRDefault="00454350" w:rsidP="00454350">
      <w:pPr>
        <w:spacing w:after="0"/>
        <w:ind w:left="360"/>
        <w:contextualSpacing/>
      </w:pPr>
      <w:r>
        <w:t xml:space="preserve">Cover the gel with DI water in the tray and let it sit in direct sunlight. Sunlight is the most efficient way to </w:t>
      </w:r>
      <w:proofErr w:type="spellStart"/>
      <w:r>
        <w:t>destain</w:t>
      </w:r>
      <w:proofErr w:type="spellEnd"/>
      <w:r>
        <w:t xml:space="preserve"> the gel, and may produce a clear gel in 30 seconds. If your light source is less intense, this process can take up to 1 hour to produce a satisfactory </w:t>
      </w:r>
      <w:proofErr w:type="spellStart"/>
      <w:r>
        <w:t>destaining</w:t>
      </w:r>
      <w:proofErr w:type="spellEnd"/>
      <w:r>
        <w:t xml:space="preserve">. As soon as all of the stain on the gel body (not staining the DNA bands themselves) has been decolored, take the gel out of the sun – do NOT </w:t>
      </w:r>
      <w:proofErr w:type="spellStart"/>
      <w:r>
        <w:t>overdestain</w:t>
      </w:r>
      <w:proofErr w:type="spellEnd"/>
    </w:p>
    <w:p w14:paraId="1A233DEB" w14:textId="77777777" w:rsidR="006C7FFA" w:rsidRDefault="00454350" w:rsidP="00C8730B">
      <w:pPr>
        <w:spacing w:before="280" w:after="280" w:line="240" w:lineRule="auto"/>
        <w:ind w:left="360"/>
      </w:pPr>
      <w:r>
        <w:t>Obtain a transparency from the gel supplies drawer (do not wrinkle these ever). Rinse it with DI, then smoothly and gently transfer the gel from the tray to the transparency (try to only touch the corners). Dry the transparency’s outside and obtain a scanned image from the copier machine.</w:t>
      </w:r>
    </w:p>
    <w:sectPr w:rsidR="006C7FFA">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Cardo">
    <w:altName w:val="Calibri"/>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350"/>
    <w:rsid w:val="001633B2"/>
    <w:rsid w:val="001D7482"/>
    <w:rsid w:val="003C0D58"/>
    <w:rsid w:val="00454350"/>
    <w:rsid w:val="00540B8B"/>
    <w:rsid w:val="00570A52"/>
    <w:rsid w:val="006C7FFA"/>
    <w:rsid w:val="00A76F31"/>
    <w:rsid w:val="00C8730B"/>
    <w:rsid w:val="00CA34CC"/>
    <w:rsid w:val="00DD4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2AC756"/>
  <w14:defaultImageDpi w14:val="300"/>
  <w15:docId w15:val="{736C4A6B-B650-7241-8A7C-DA413401C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454350"/>
    <w:pPr>
      <w:widowControl w:val="0"/>
      <w:pBdr>
        <w:top w:val="nil"/>
        <w:left w:val="nil"/>
        <w:bottom w:val="nil"/>
        <w:right w:val="nil"/>
        <w:between w:val="nil"/>
      </w:pBdr>
      <w:spacing w:after="200" w:line="276" w:lineRule="auto"/>
    </w:pPr>
    <w:rPr>
      <w:rFonts w:ascii="Times New Roman" w:eastAsia="Times New Roman" w:hAnsi="Times New Roman" w:cs="Times New Roman"/>
      <w:color w:val="00000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350"/>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4350"/>
    <w:rPr>
      <w:rFonts w:ascii="Lucida Grande" w:eastAsia="Times New Roman" w:hAnsi="Lucida Grande" w:cs="Lucida Grande"/>
      <w:color w:val="000000"/>
      <w:sz w:val="18"/>
      <w:szCs w:val="18"/>
      <w:lang w:eastAsia="zh-CN"/>
    </w:rPr>
  </w:style>
  <w:style w:type="paragraph" w:styleId="ListParagraph">
    <w:name w:val="List Paragraph"/>
    <w:basedOn w:val="Normal"/>
    <w:uiPriority w:val="34"/>
    <w:qFormat/>
    <w:rsid w:val="004543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1186</Words>
  <Characters>6762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Deondre Jordan</dc:creator>
  <cp:keywords/>
  <dc:description/>
  <cp:lastModifiedBy>Kevin Li</cp:lastModifiedBy>
  <cp:revision>8</cp:revision>
  <dcterms:created xsi:type="dcterms:W3CDTF">2018-08-26T20:48:00Z</dcterms:created>
  <dcterms:modified xsi:type="dcterms:W3CDTF">2021-06-25T20:01:00Z</dcterms:modified>
</cp:coreProperties>
</file>