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F5F71" w14:textId="1BEAC7CB" w:rsidR="00A159D5" w:rsidRDefault="001E056E" w:rsidP="001369FF">
      <w:pPr>
        <w:spacing w:line="240" w:lineRule="auto"/>
        <w:ind w:firstLine="0"/>
        <w:contextualSpacing/>
        <w:jc w:val="center"/>
        <w:outlineLvl w:val="0"/>
        <w:rPr>
          <w:b/>
          <w:color w:val="000000" w:themeColor="text1"/>
          <w:sz w:val="28"/>
          <w:szCs w:val="28"/>
        </w:rPr>
      </w:pPr>
      <w:r w:rsidRPr="0004309E">
        <w:rPr>
          <w:b/>
          <w:color w:val="000000" w:themeColor="text1"/>
          <w:sz w:val="28"/>
          <w:szCs w:val="28"/>
        </w:rPr>
        <w:t>T</w:t>
      </w:r>
      <w:r w:rsidRPr="00A159D5">
        <w:rPr>
          <w:b/>
          <w:color w:val="000000" w:themeColor="text1"/>
          <w:sz w:val="28"/>
          <w:szCs w:val="28"/>
        </w:rPr>
        <w:t xml:space="preserve">HE FEDERAL RESERVE’S DUAL MANDATE AND </w:t>
      </w:r>
    </w:p>
    <w:p w14:paraId="5FE22EFD" w14:textId="41A2D304" w:rsidR="00A159D5" w:rsidRDefault="001E056E" w:rsidP="004B08E7">
      <w:pPr>
        <w:spacing w:line="240" w:lineRule="auto"/>
        <w:ind w:firstLine="0"/>
        <w:contextualSpacing/>
        <w:jc w:val="center"/>
        <w:outlineLvl w:val="0"/>
        <w:rPr>
          <w:b/>
          <w:color w:val="000000" w:themeColor="text1"/>
          <w:sz w:val="28"/>
          <w:szCs w:val="28"/>
        </w:rPr>
      </w:pPr>
      <w:r w:rsidRPr="00A159D5">
        <w:rPr>
          <w:b/>
          <w:color w:val="000000" w:themeColor="text1"/>
          <w:sz w:val="28"/>
          <w:szCs w:val="28"/>
        </w:rPr>
        <w:t>THE INFLATION-UNEMPLOYMENT</w:t>
      </w:r>
      <w:r>
        <w:rPr>
          <w:b/>
          <w:color w:val="000000" w:themeColor="text1"/>
          <w:sz w:val="28"/>
          <w:szCs w:val="28"/>
        </w:rPr>
        <w:t xml:space="preserve"> </w:t>
      </w:r>
      <w:r w:rsidRPr="00A159D5">
        <w:rPr>
          <w:b/>
          <w:color w:val="000000" w:themeColor="text1"/>
          <w:sz w:val="28"/>
          <w:szCs w:val="28"/>
        </w:rPr>
        <w:t>TRADEOFF</w:t>
      </w:r>
    </w:p>
    <w:p w14:paraId="1E862263" w14:textId="4D54DE33" w:rsidR="00316609" w:rsidRDefault="00316609" w:rsidP="002E6DEC">
      <w:pPr>
        <w:rPr>
          <w:lang w:eastAsia="zh-CN"/>
        </w:rPr>
      </w:pPr>
    </w:p>
    <w:p w14:paraId="7B121C02" w14:textId="214845F6" w:rsidR="00ED6ED8" w:rsidRDefault="007E584B" w:rsidP="007634DD">
      <w:pPr>
        <w:spacing w:line="240" w:lineRule="auto"/>
        <w:ind w:firstLine="0"/>
        <w:jc w:val="center"/>
        <w:rPr>
          <w:lang w:eastAsia="zh-CN"/>
        </w:rPr>
      </w:pPr>
      <w:r>
        <w:rPr>
          <w:lang w:eastAsia="zh-CN"/>
        </w:rPr>
        <w:t>Ayse Kaya, Ste</w:t>
      </w:r>
      <w:r w:rsidR="005A1975">
        <w:rPr>
          <w:lang w:eastAsia="zh-CN"/>
        </w:rPr>
        <w:t>phen</w:t>
      </w:r>
      <w:r>
        <w:rPr>
          <w:lang w:eastAsia="zh-CN"/>
        </w:rPr>
        <w:t xml:space="preserve"> Golub, Mark Kuperberg, and Feng Lin</w:t>
      </w:r>
      <w:r w:rsidRPr="00D65680">
        <w:rPr>
          <w:rStyle w:val="FootnoteReference"/>
          <w:vertAlign w:val="baseline"/>
          <w:lang w:eastAsia="zh-CN"/>
        </w:rPr>
        <w:footnoteReference w:customMarkFollows="1" w:id="1"/>
        <w:sym w:font="Symbol" w:char="F02A"/>
      </w:r>
    </w:p>
    <w:p w14:paraId="07D8FCE8" w14:textId="36DAB241" w:rsidR="00590012" w:rsidRPr="009D469E" w:rsidRDefault="002102FC" w:rsidP="001369FF">
      <w:pPr>
        <w:pStyle w:val="Heading1"/>
        <w:contextualSpacing/>
        <w:rPr>
          <w:szCs w:val="24"/>
          <w:lang w:eastAsia="zh-CN"/>
        </w:rPr>
      </w:pPr>
      <w:r w:rsidRPr="009D469E">
        <w:rPr>
          <w:szCs w:val="24"/>
          <w:lang w:eastAsia="zh-CN"/>
        </w:rPr>
        <w:t>ABSTRACT</w:t>
      </w:r>
    </w:p>
    <w:p w14:paraId="0A7E3B98" w14:textId="53E24E78" w:rsidR="00B54A2C" w:rsidRDefault="00EC4DA4">
      <w:r w:rsidRPr="00EC4DA4">
        <w:t>Using Federal Open Market Committee (FOMC) transcripts from 1960-2010, this paper examines the evolution of the Committee’s approach to the inflation-unemployment tradeoff. We find: 1) FOMC discussions have increasingly emphasized inflation relative to unemployment</w:t>
      </w:r>
      <w:r w:rsidR="00A64301">
        <w:t xml:space="preserve"> and</w:t>
      </w:r>
      <w:r w:rsidRPr="00EC4DA4">
        <w:t xml:space="preserve"> 2) This shift occurred during the Volcker era and has continued even as inflation itself declined, with the result that the emphasis on inflation has </w:t>
      </w:r>
      <w:r w:rsidR="0094438F" w:rsidRPr="00EC4DA4">
        <w:t>become</w:t>
      </w:r>
      <w:r w:rsidRPr="00EC4DA4">
        <w:t xml:space="preserve"> entrenched and disconnected from actual inflation</w:t>
      </w:r>
      <w:r w:rsidR="00A64301">
        <w:t>.</w:t>
      </w:r>
      <w:r w:rsidRPr="00EC4DA4">
        <w:t xml:space="preserve"> </w:t>
      </w:r>
      <w:r w:rsidR="00A64301">
        <w:t xml:space="preserve">Finally, </w:t>
      </w:r>
      <w:bookmarkStart w:id="0" w:name="_GoBack"/>
      <w:bookmarkEnd w:id="0"/>
      <w:r w:rsidR="00A64301">
        <w:t>w</w:t>
      </w:r>
      <w:r w:rsidRPr="00EC4DA4">
        <w:t xml:space="preserve">e create an expanded Taylor Rule that includes these FOMC discussions and find that the increased emphasis on inflation is positively correlated with the federal funds rate. </w:t>
      </w:r>
      <w:r w:rsidR="00BC2A7F">
        <w:t>(</w:t>
      </w:r>
      <w:r w:rsidR="00BC2A7F">
        <w:rPr>
          <w:i/>
        </w:rPr>
        <w:t>JEL</w:t>
      </w:r>
      <w:r w:rsidR="00BC2A7F">
        <w:t xml:space="preserve"> E5, E4, E6)</w:t>
      </w:r>
    </w:p>
    <w:p w14:paraId="67EB9B08" w14:textId="5776EA68" w:rsidR="00590012" w:rsidRPr="001369FF" w:rsidRDefault="00393396" w:rsidP="00DA1BD2">
      <w:pPr>
        <w:pStyle w:val="Heading1"/>
        <w:keepNext/>
        <w:contextualSpacing/>
        <w:rPr>
          <w:szCs w:val="24"/>
        </w:rPr>
      </w:pPr>
      <w:r>
        <w:rPr>
          <w:szCs w:val="24"/>
        </w:rPr>
        <w:t>I</w:t>
      </w:r>
      <w:r w:rsidR="009D01C3" w:rsidRPr="001369FF">
        <w:rPr>
          <w:szCs w:val="24"/>
        </w:rPr>
        <w:t>.</w:t>
      </w:r>
      <w:r w:rsidR="00834334" w:rsidRPr="001369FF">
        <w:rPr>
          <w:szCs w:val="24"/>
        </w:rPr>
        <w:t xml:space="preserve"> </w:t>
      </w:r>
      <w:r w:rsidR="008F3AE6" w:rsidRPr="001369FF">
        <w:rPr>
          <w:szCs w:val="24"/>
        </w:rPr>
        <w:t>INTRODUCTION</w:t>
      </w:r>
    </w:p>
    <w:p w14:paraId="6566CD1B" w14:textId="4C51E815" w:rsidR="008E2440" w:rsidRPr="00B71927" w:rsidRDefault="00607E05" w:rsidP="002E6DEC">
      <w:pPr>
        <w:pStyle w:val="FootnoteText"/>
        <w:rPr>
          <w:rFonts w:ascii="Times New Roman" w:hAnsi="Times New Roman" w:cs="Times New Roman"/>
          <w:color w:val="000000" w:themeColor="text1"/>
        </w:rPr>
      </w:pPr>
      <w:r w:rsidRPr="00B71927">
        <w:rPr>
          <w:rFonts w:ascii="Times New Roman" w:hAnsi="Times New Roman" w:cs="Times New Roman"/>
        </w:rPr>
        <w:t>Since the early post-war period, the Federal Reserve (the Fed) has had the dual mandate of “price stability” and “maximum employment</w:t>
      </w:r>
      <w:r w:rsidR="002F68C8">
        <w:rPr>
          <w:rFonts w:ascii="Times New Roman" w:hAnsi="Times New Roman" w:cs="Times New Roman"/>
        </w:rPr>
        <w:t>,</w:t>
      </w:r>
      <w:r w:rsidRPr="00B71927">
        <w:rPr>
          <w:rFonts w:ascii="Times New Roman" w:hAnsi="Times New Roman" w:cs="Times New Roman"/>
        </w:rPr>
        <w:t xml:space="preserve">” which was reaffirmed with the 1977 Federal Reform Act and the 1978 Full Employment and Balanced Growth Act (Humphrey-Hawkins Full Employment Act). </w:t>
      </w:r>
      <w:r w:rsidR="00155228" w:rsidRPr="00B71927">
        <w:rPr>
          <w:rFonts w:ascii="Times New Roman" w:hAnsi="Times New Roman" w:cs="Times New Roman"/>
        </w:rPr>
        <w:t>And yet</w:t>
      </w:r>
      <w:r w:rsidR="00DB0514" w:rsidRPr="00B71927">
        <w:rPr>
          <w:rFonts w:ascii="Times New Roman" w:hAnsi="Times New Roman" w:cs="Times New Roman"/>
        </w:rPr>
        <w:t>, b</w:t>
      </w:r>
      <w:r w:rsidRPr="00B71927">
        <w:rPr>
          <w:rFonts w:ascii="Times New Roman" w:hAnsi="Times New Roman" w:cs="Times New Roman"/>
        </w:rPr>
        <w:t xml:space="preserve">eginning with Phillips (1958), </w:t>
      </w:r>
      <w:r w:rsidR="00A571FF" w:rsidRPr="00B71927">
        <w:rPr>
          <w:rFonts w:ascii="Times New Roman" w:hAnsi="Times New Roman" w:cs="Times New Roman"/>
        </w:rPr>
        <w:t xml:space="preserve">macroeconomics </w:t>
      </w:r>
      <w:r w:rsidRPr="00B71927">
        <w:rPr>
          <w:rFonts w:ascii="Times New Roman" w:hAnsi="Times New Roman" w:cs="Times New Roman"/>
        </w:rPr>
        <w:t xml:space="preserve">has debated the degree to which there is a tradeoff between inflation and unemployment (e.g., </w:t>
      </w:r>
      <w:r w:rsidRPr="00B71927">
        <w:rPr>
          <w:rFonts w:ascii="Times New Roman" w:hAnsi="Times New Roman" w:cs="Times New Roman"/>
          <w:color w:val="000000" w:themeColor="text1"/>
        </w:rPr>
        <w:t xml:space="preserve">Samuelson and Solow 1960; Friedman 1968; Phelps 1967; Lucas 1972; </w:t>
      </w:r>
      <w:r w:rsidR="00383952" w:rsidRPr="00B71927">
        <w:rPr>
          <w:rFonts w:ascii="Times New Roman" w:hAnsi="Times New Roman" w:cs="Times New Roman"/>
          <w:color w:val="000000" w:themeColor="text1"/>
        </w:rPr>
        <w:t xml:space="preserve">Blanchard and Gali 2007; </w:t>
      </w:r>
      <w:r w:rsidRPr="00B71927">
        <w:rPr>
          <w:rFonts w:ascii="Times New Roman" w:hAnsi="Times New Roman" w:cs="Times New Roman"/>
          <w:color w:val="000000" w:themeColor="text1"/>
        </w:rPr>
        <w:t xml:space="preserve">Blanchard </w:t>
      </w:r>
      <w:r w:rsidRPr="00B71927">
        <w:rPr>
          <w:rFonts w:ascii="Times New Roman" w:hAnsi="Times New Roman" w:cs="Times New Roman"/>
          <w:color w:val="000000" w:themeColor="text1"/>
        </w:rPr>
        <w:lastRenderedPageBreak/>
        <w:t>2016)</w:t>
      </w:r>
      <w:r w:rsidRPr="00B71927">
        <w:rPr>
          <w:rFonts w:ascii="Times New Roman" w:hAnsi="Times New Roman" w:cs="Times New Roman"/>
        </w:rPr>
        <w:t>.</w:t>
      </w:r>
      <w:r w:rsidR="00917453" w:rsidRPr="00B71927">
        <w:rPr>
          <w:rFonts w:ascii="Times New Roman" w:hAnsi="Times New Roman" w:cs="Times New Roman"/>
        </w:rPr>
        <w:t xml:space="preserve"> </w:t>
      </w:r>
      <w:r w:rsidR="00320EAF" w:rsidRPr="00B71927">
        <w:rPr>
          <w:rFonts w:ascii="Times New Roman" w:hAnsi="Times New Roman" w:cs="Times New Roman"/>
          <w:color w:val="000000" w:themeColor="text1"/>
        </w:rPr>
        <w:t xml:space="preserve">How has the Fed approached </w:t>
      </w:r>
      <w:r w:rsidR="00260C5C" w:rsidRPr="00B71927">
        <w:rPr>
          <w:rFonts w:ascii="Times New Roman" w:hAnsi="Times New Roman" w:cs="Times New Roman"/>
          <w:color w:val="000000" w:themeColor="text1"/>
        </w:rPr>
        <w:t>the issue of a</w:t>
      </w:r>
      <w:r w:rsidR="00320EAF" w:rsidRPr="00B71927">
        <w:rPr>
          <w:rFonts w:ascii="Times New Roman" w:hAnsi="Times New Roman" w:cs="Times New Roman"/>
          <w:color w:val="000000" w:themeColor="text1"/>
        </w:rPr>
        <w:t xml:space="preserve"> tradeoff between inflation and unemployment? </w:t>
      </w:r>
      <w:r w:rsidR="00BD1182" w:rsidRPr="00B71927">
        <w:rPr>
          <w:rFonts w:ascii="Times New Roman" w:hAnsi="Times New Roman" w:cs="Times New Roman"/>
          <w:color w:val="000000" w:themeColor="text1"/>
        </w:rPr>
        <w:t>H</w:t>
      </w:r>
      <w:r w:rsidR="00AB7EBA" w:rsidRPr="00B71927">
        <w:rPr>
          <w:rFonts w:ascii="Times New Roman" w:hAnsi="Times New Roman" w:cs="Times New Roman"/>
          <w:color w:val="000000" w:themeColor="text1"/>
        </w:rPr>
        <w:t>as its approach changed over time?</w:t>
      </w:r>
      <w:r w:rsidR="00695E3D" w:rsidRPr="00B71927">
        <w:rPr>
          <w:rFonts w:ascii="Times New Roman" w:hAnsi="Times New Roman" w:cs="Times New Roman"/>
          <w:color w:val="000000" w:themeColor="text1"/>
        </w:rPr>
        <w:t xml:space="preserve"> These questions are of significance </w:t>
      </w:r>
      <w:r w:rsidRPr="00B71927">
        <w:rPr>
          <w:rFonts w:ascii="Times New Roman" w:hAnsi="Times New Roman" w:cs="Times New Roman"/>
          <w:color w:val="000000" w:themeColor="text1"/>
        </w:rPr>
        <w:t xml:space="preserve">for policymaking and for understanding the relationship between academic debates and </w:t>
      </w:r>
      <w:r w:rsidR="00D44467" w:rsidRPr="00B71927">
        <w:rPr>
          <w:rFonts w:ascii="Times New Roman" w:hAnsi="Times New Roman" w:cs="Times New Roman"/>
          <w:color w:val="000000" w:themeColor="text1"/>
        </w:rPr>
        <w:t>policy</w:t>
      </w:r>
      <w:r w:rsidR="00695E3D" w:rsidRPr="00B71927">
        <w:rPr>
          <w:rFonts w:ascii="Times New Roman" w:hAnsi="Times New Roman" w:cs="Times New Roman"/>
          <w:color w:val="000000" w:themeColor="text1"/>
        </w:rPr>
        <w:t>.</w:t>
      </w:r>
      <w:r w:rsidR="005B78C3" w:rsidRPr="00B71927">
        <w:rPr>
          <w:rFonts w:ascii="Times New Roman" w:hAnsi="Times New Roman" w:cs="Times New Roman"/>
          <w:color w:val="000000" w:themeColor="text1"/>
        </w:rPr>
        <w:t xml:space="preserve"> </w:t>
      </w:r>
      <w:r w:rsidR="00855185" w:rsidRPr="00B71927">
        <w:rPr>
          <w:rFonts w:ascii="Times New Roman" w:hAnsi="Times New Roman" w:cs="Times New Roman"/>
        </w:rPr>
        <w:t xml:space="preserve">While many previous studies have </w:t>
      </w:r>
      <w:r w:rsidR="00855185" w:rsidRPr="00F827BA">
        <w:rPr>
          <w:rFonts w:ascii="Times New Roman" w:hAnsi="Times New Roman" w:cs="Times New Roman"/>
        </w:rPr>
        <w:t xml:space="preserve">used the </w:t>
      </w:r>
      <w:r w:rsidR="00F827BA" w:rsidRPr="009F6635">
        <w:rPr>
          <w:rFonts w:ascii="Times New Roman" w:hAnsi="Times New Roman" w:cs="Times New Roman"/>
        </w:rPr>
        <w:t>Federal Open Market Committee</w:t>
      </w:r>
      <w:r w:rsidR="00F827BA" w:rsidRPr="00F827BA">
        <w:rPr>
          <w:rFonts w:ascii="Times New Roman" w:hAnsi="Times New Roman" w:cs="Times New Roman"/>
        </w:rPr>
        <w:t xml:space="preserve"> (</w:t>
      </w:r>
      <w:r w:rsidR="00855185" w:rsidRPr="00F827BA">
        <w:rPr>
          <w:rFonts w:ascii="Times New Roman" w:hAnsi="Times New Roman" w:cs="Times New Roman"/>
        </w:rPr>
        <w:t>FOMC</w:t>
      </w:r>
      <w:r w:rsidR="00F827BA" w:rsidRPr="00F827BA">
        <w:rPr>
          <w:rFonts w:ascii="Times New Roman" w:hAnsi="Times New Roman" w:cs="Times New Roman"/>
        </w:rPr>
        <w:t>)</w:t>
      </w:r>
      <w:r w:rsidR="00855185" w:rsidRPr="00F827BA">
        <w:rPr>
          <w:rFonts w:ascii="Times New Roman" w:hAnsi="Times New Roman" w:cs="Times New Roman"/>
        </w:rPr>
        <w:t xml:space="preserve"> transcr</w:t>
      </w:r>
      <w:r w:rsidR="00855185" w:rsidRPr="00B71927">
        <w:rPr>
          <w:rFonts w:ascii="Times New Roman" w:hAnsi="Times New Roman" w:cs="Times New Roman"/>
        </w:rPr>
        <w:t>ipts,</w:t>
      </w:r>
      <w:r w:rsidR="00930EE0">
        <w:rPr>
          <w:rFonts w:ascii="Times New Roman" w:hAnsi="Times New Roman" w:cs="Times New Roman"/>
          <w:color w:val="000000" w:themeColor="text1"/>
        </w:rPr>
        <w:t xml:space="preserve"> a systematic analysis of the tradeoff in FOMC deliberations still</w:t>
      </w:r>
      <w:r w:rsidR="00C255B8">
        <w:rPr>
          <w:rFonts w:ascii="Times New Roman" w:hAnsi="Times New Roman" w:cs="Times New Roman"/>
          <w:color w:val="000000" w:themeColor="text1"/>
        </w:rPr>
        <w:t xml:space="preserve"> remains</w:t>
      </w:r>
      <w:r w:rsidR="00930EE0">
        <w:rPr>
          <w:rFonts w:ascii="Times New Roman" w:hAnsi="Times New Roman" w:cs="Times New Roman"/>
          <w:color w:val="000000" w:themeColor="text1"/>
        </w:rPr>
        <w:t xml:space="preserve"> lacking</w:t>
      </w:r>
      <w:r w:rsidR="00855185" w:rsidRPr="00B71927">
        <w:rPr>
          <w:rFonts w:ascii="Times New Roman" w:hAnsi="Times New Roman" w:cs="Times New Roman"/>
          <w:color w:val="000000" w:themeColor="text1"/>
        </w:rPr>
        <w:t>.</w:t>
      </w:r>
      <w:r w:rsidR="0099402A">
        <w:rPr>
          <w:rStyle w:val="FootnoteReference"/>
          <w:rFonts w:ascii="Times New Roman" w:hAnsi="Times New Roman" w:cs="Times New Roman"/>
          <w:color w:val="000000" w:themeColor="text1"/>
        </w:rPr>
        <w:footnoteReference w:id="2"/>
      </w:r>
    </w:p>
    <w:p w14:paraId="71F0BEA0" w14:textId="6E89A620" w:rsidR="00A21F76" w:rsidRDefault="00030878" w:rsidP="00A21F76">
      <w:pPr>
        <w:rPr>
          <w:color w:val="000000" w:themeColor="text1"/>
        </w:rPr>
      </w:pPr>
      <w:r>
        <w:t>Through semi-automated content analysis, we</w:t>
      </w:r>
      <w:r w:rsidR="00C9480A">
        <w:rPr>
          <w:color w:val="000000" w:themeColor="text1"/>
        </w:rPr>
        <w:t xml:space="preserve"> </w:t>
      </w:r>
      <w:r>
        <w:rPr>
          <w:color w:val="000000" w:themeColor="text1"/>
        </w:rPr>
        <w:t>examine</w:t>
      </w:r>
      <w:r w:rsidR="00C9480A">
        <w:rPr>
          <w:color w:val="000000" w:themeColor="text1"/>
        </w:rPr>
        <w:t xml:space="preserve"> the frequency with which </w:t>
      </w:r>
      <w:r w:rsidR="00855185" w:rsidRPr="009D469E">
        <w:t xml:space="preserve">the </w:t>
      </w:r>
      <w:r w:rsidR="00855185">
        <w:t>FOMC</w:t>
      </w:r>
      <w:r w:rsidR="00F827BA">
        <w:t xml:space="preserve"> </w:t>
      </w:r>
      <w:r w:rsidR="00C9480A">
        <w:rPr>
          <w:color w:val="000000" w:themeColor="text1"/>
        </w:rPr>
        <w:t>members discuss inflation versus unemployment over both the pre- and post-Volcker eras</w:t>
      </w:r>
      <w:r w:rsidR="00A21F76">
        <w:rPr>
          <w:color w:val="000000" w:themeColor="text1"/>
        </w:rPr>
        <w:t xml:space="preserve"> </w:t>
      </w:r>
      <w:r w:rsidR="00EA2982">
        <w:rPr>
          <w:color w:val="000000" w:themeColor="text1"/>
        </w:rPr>
        <w:t>and explore the statistical relationship between these discussions and the federal funds rate</w:t>
      </w:r>
      <w:r w:rsidR="00C9480A">
        <w:rPr>
          <w:color w:val="000000" w:themeColor="text1"/>
        </w:rPr>
        <w:t xml:space="preserve">. </w:t>
      </w:r>
      <w:r w:rsidR="00A21F76" w:rsidRPr="009D469E">
        <w:rPr>
          <w:color w:val="000000" w:themeColor="text1"/>
        </w:rPr>
        <w:t>This long-term focus enables analysis of several distinct periods in monetary policymaking, including the 1960s Keynesian era, the stagflation of the 1970s, the “Volcker Revolution</w:t>
      </w:r>
      <w:r w:rsidR="00D370CC">
        <w:rPr>
          <w:color w:val="000000" w:themeColor="text1"/>
        </w:rPr>
        <w:t>,</w:t>
      </w:r>
      <w:r w:rsidR="00A21F76" w:rsidRPr="009D469E">
        <w:rPr>
          <w:color w:val="000000" w:themeColor="text1"/>
        </w:rPr>
        <w:t>” the subsequent “Great Moderation</w:t>
      </w:r>
      <w:r w:rsidR="00D370CC">
        <w:rPr>
          <w:color w:val="000000" w:themeColor="text1"/>
        </w:rPr>
        <w:t>,</w:t>
      </w:r>
      <w:r w:rsidR="00A21F76" w:rsidRPr="009D469E">
        <w:rPr>
          <w:color w:val="000000" w:themeColor="text1"/>
        </w:rPr>
        <w:t>” the 2008 financial crisis, and the ensuing Great Recession.</w:t>
      </w:r>
      <w:r w:rsidR="00A21F76" w:rsidRPr="009D469E">
        <w:rPr>
          <w:rStyle w:val="FootnoteReference"/>
          <w:color w:val="000000" w:themeColor="text1"/>
        </w:rPr>
        <w:footnoteReference w:id="3"/>
      </w:r>
      <w:r w:rsidR="00A21F76">
        <w:rPr>
          <w:color w:val="000000" w:themeColor="text1"/>
        </w:rPr>
        <w:t xml:space="preserve"> Further</w:t>
      </w:r>
      <w:r w:rsidR="00A21F76" w:rsidRPr="009D469E">
        <w:rPr>
          <w:color w:val="000000" w:themeColor="text1"/>
        </w:rPr>
        <w:t xml:space="preserve">, the paper is the first, to our knowledge, to explore the association between FOMC discussions on inflation/unemployment and the federal funds rate. </w:t>
      </w:r>
    </w:p>
    <w:p w14:paraId="5E98A4DC" w14:textId="591BC3B0" w:rsidR="00431553" w:rsidRDefault="00C532AB" w:rsidP="00B169C0">
      <w:r w:rsidRPr="009D469E">
        <w:t>We find the FOMC’s discussions of inflation relative to unemployment have increased over time, even after controlling for actual levels of inflation</w:t>
      </w:r>
      <w:r w:rsidR="00A52A09">
        <w:t xml:space="preserve">. </w:t>
      </w:r>
      <w:r w:rsidRPr="009D469E">
        <w:t xml:space="preserve">Figure 1 provides a descriptive snapshot, later </w:t>
      </w:r>
      <w:r w:rsidR="00431553" w:rsidRPr="009D469E">
        <w:t xml:space="preserve">supported </w:t>
      </w:r>
      <w:r w:rsidRPr="009D469E">
        <w:t>with regression analysis, of this shift</w:t>
      </w:r>
      <w:r w:rsidR="004740B4">
        <w:t xml:space="preserve">. It </w:t>
      </w:r>
      <w:r w:rsidR="00A52A09" w:rsidRPr="009D469E">
        <w:t>plot</w:t>
      </w:r>
      <w:r w:rsidR="004740B4">
        <w:t>s</w:t>
      </w:r>
      <w:r w:rsidR="00A52A09" w:rsidRPr="009D469E">
        <w:t xml:space="preserve"> </w:t>
      </w:r>
      <w:r w:rsidRPr="009D469E">
        <w:t xml:space="preserve">the ratio of </w:t>
      </w:r>
      <w:r w:rsidR="00A52A09">
        <w:t>mentions</w:t>
      </w:r>
      <w:r w:rsidR="00A52A09" w:rsidRPr="009D469E">
        <w:t xml:space="preserve"> </w:t>
      </w:r>
      <w:r w:rsidRPr="009D469E">
        <w:t xml:space="preserve">of inflation to </w:t>
      </w:r>
      <w:r w:rsidR="00A52A09">
        <w:t>mentions</w:t>
      </w:r>
      <w:r w:rsidR="00A52A09" w:rsidRPr="009D469E">
        <w:t xml:space="preserve"> </w:t>
      </w:r>
      <w:r w:rsidRPr="009D469E">
        <w:t xml:space="preserve">of inflation plus unemployment </w:t>
      </w:r>
      <w:r w:rsidR="00A52A09">
        <w:t xml:space="preserve">per FOMC meeting </w:t>
      </w:r>
      <w:r w:rsidRPr="009D469E">
        <w:t xml:space="preserve">(labelled as INFL) over </w:t>
      </w:r>
      <w:r w:rsidRPr="009D469E">
        <w:lastRenderedPageBreak/>
        <w:t>time.</w:t>
      </w:r>
      <w:r w:rsidRPr="009D469E">
        <w:rPr>
          <w:rStyle w:val="FootnoteReference"/>
        </w:rPr>
        <w:footnoteReference w:id="4"/>
      </w:r>
      <w:r w:rsidRPr="009D469E">
        <w:t xml:space="preserve"> </w:t>
      </w:r>
      <w:r w:rsidR="00A52A09">
        <w:t>INFL</w:t>
      </w:r>
      <w:r w:rsidRPr="009D469E">
        <w:t xml:space="preserve"> unsurprisingly rises with the increase in US inflation during the 1970s and reaches a peak at the beginning of the Vol</w:t>
      </w:r>
      <w:r w:rsidR="00A571FF">
        <w:t>c</w:t>
      </w:r>
      <w:r w:rsidRPr="009D469E">
        <w:t xml:space="preserve">ker chairmanship. However, post-Volcker, the relative emphasis on inflation continues at this high level even after inflation itself decreases so that INFL becomes divorced from the underlying inflation rate. </w:t>
      </w:r>
    </w:p>
    <w:p w14:paraId="238F3EFB" w14:textId="63039E11" w:rsidR="00611B47" w:rsidRPr="009D469E" w:rsidRDefault="005B78C3" w:rsidP="001369FF">
      <w:pPr>
        <w:ind w:firstLine="0"/>
        <w:contextualSpacing/>
        <w:jc w:val="center"/>
      </w:pPr>
      <w:r>
        <w:t>[Figure 1 here]</w:t>
      </w:r>
    </w:p>
    <w:p w14:paraId="29AEF7B6" w14:textId="0EE2516E" w:rsidR="00431553" w:rsidRDefault="00C532AB">
      <w:r w:rsidRPr="009D469E">
        <w:t>While it may be argued that FOMC talk is inconsequential, the paper also shows that</w:t>
      </w:r>
      <w:r w:rsidR="00706853">
        <w:t xml:space="preserve"> the FOMC discussions have been significantly related to the federal funds rate, controlling for t</w:t>
      </w:r>
      <w:r w:rsidR="002F1D8B">
        <w:t>he</w:t>
      </w:r>
      <w:r w:rsidR="002F1D8B" w:rsidRPr="002F1D8B">
        <w:t xml:space="preserve"> </w:t>
      </w:r>
      <w:r w:rsidR="002F1D8B" w:rsidRPr="009D469E">
        <w:t>inflation</w:t>
      </w:r>
      <w:r w:rsidR="002F1D8B">
        <w:t>/</w:t>
      </w:r>
      <w:r w:rsidR="002F1D8B" w:rsidRPr="009D469E">
        <w:t>unemployment target or the actual levels of inflation</w:t>
      </w:r>
      <w:r w:rsidR="002F1D8B">
        <w:t>/</w:t>
      </w:r>
      <w:r w:rsidR="002F1D8B" w:rsidRPr="009D469E">
        <w:t>unemployment</w:t>
      </w:r>
      <w:r w:rsidR="002F1D8B">
        <w:t>, i.e. the variables in the Taylor Rule.</w:t>
      </w:r>
      <w:r w:rsidR="00706853">
        <w:t xml:space="preserve"> </w:t>
      </w:r>
      <w:r w:rsidR="00C1780A">
        <w:t xml:space="preserve">Although </w:t>
      </w:r>
      <w:r w:rsidR="002F1D8B">
        <w:t xml:space="preserve">caution is warranted in interpreting this significant correlation as the FOMC discussions having affected the federal funds rate, the finding is highly suggestive that </w:t>
      </w:r>
      <w:r w:rsidR="000B4852">
        <w:t>“</w:t>
      </w:r>
      <w:r w:rsidR="002F1D8B">
        <w:t>talk</w:t>
      </w:r>
      <w:r w:rsidR="000B4852">
        <w:t>”</w:t>
      </w:r>
      <w:r w:rsidR="002F1D8B">
        <w:t xml:space="preserve"> matters. </w:t>
      </w:r>
      <w:r w:rsidR="00FB7335">
        <w:t>At a minimum, INFL is a partial proxy for the factors that are causing the FOMC to deviate from the Taylor Rule.</w:t>
      </w:r>
    </w:p>
    <w:p w14:paraId="5B148B21" w14:textId="782AED69" w:rsidR="00C532AB" w:rsidRPr="009D469E" w:rsidRDefault="00C532AB">
      <w:pPr>
        <w:rPr>
          <w:color w:val="000000" w:themeColor="text1"/>
        </w:rPr>
      </w:pPr>
      <w:r w:rsidRPr="009D469E">
        <w:rPr>
          <w:color w:val="000000" w:themeColor="text1"/>
        </w:rPr>
        <w:t xml:space="preserve">Section 2 provides an econometric analysis of </w:t>
      </w:r>
      <w:r w:rsidR="008E164A">
        <w:rPr>
          <w:color w:val="000000" w:themeColor="text1"/>
        </w:rPr>
        <w:t>the frequency of discussions of inflation relative to unemployment</w:t>
      </w:r>
      <w:r w:rsidR="00970C7B">
        <w:rPr>
          <w:color w:val="000000" w:themeColor="text1"/>
        </w:rPr>
        <w:t xml:space="preserve"> (INFL)</w:t>
      </w:r>
      <w:r w:rsidR="008E164A">
        <w:rPr>
          <w:color w:val="000000" w:themeColor="text1"/>
        </w:rPr>
        <w:t xml:space="preserve">, confirming </w:t>
      </w:r>
      <w:r w:rsidR="00245C42">
        <w:rPr>
          <w:color w:val="000000" w:themeColor="text1"/>
        </w:rPr>
        <w:t xml:space="preserve">the increased </w:t>
      </w:r>
      <w:r w:rsidR="00A14179">
        <w:rPr>
          <w:color w:val="000000" w:themeColor="text1"/>
        </w:rPr>
        <w:t xml:space="preserve">FOMC </w:t>
      </w:r>
      <w:r w:rsidR="00245C42">
        <w:rPr>
          <w:color w:val="000000" w:themeColor="text1"/>
        </w:rPr>
        <w:t xml:space="preserve">focus on inflation shown in </w:t>
      </w:r>
      <w:r w:rsidRPr="009D469E">
        <w:rPr>
          <w:color w:val="000000" w:themeColor="text1"/>
        </w:rPr>
        <w:t xml:space="preserve">Figure 1. Section </w:t>
      </w:r>
      <w:r w:rsidR="00245C42">
        <w:rPr>
          <w:color w:val="000000" w:themeColor="text1"/>
        </w:rPr>
        <w:t>3</w:t>
      </w:r>
      <w:r w:rsidR="00245C42" w:rsidRPr="009D469E">
        <w:rPr>
          <w:color w:val="000000" w:themeColor="text1"/>
        </w:rPr>
        <w:t xml:space="preserve"> </w:t>
      </w:r>
      <w:r w:rsidRPr="009D469E">
        <w:rPr>
          <w:color w:val="000000" w:themeColor="text1"/>
        </w:rPr>
        <w:t>presents an econometric analysis</w:t>
      </w:r>
      <w:r w:rsidR="00245C42">
        <w:rPr>
          <w:color w:val="000000" w:themeColor="text1"/>
        </w:rPr>
        <w:t xml:space="preserve"> using a modified Taylor rule</w:t>
      </w:r>
      <w:r w:rsidRPr="009D469E">
        <w:rPr>
          <w:color w:val="000000" w:themeColor="text1"/>
        </w:rPr>
        <w:t xml:space="preserve"> of the effect of INFL on the Fed’s interest rate policy. Section </w:t>
      </w:r>
      <w:r w:rsidR="007D48AD">
        <w:rPr>
          <w:color w:val="000000" w:themeColor="text1"/>
        </w:rPr>
        <w:t>4</w:t>
      </w:r>
      <w:r w:rsidR="007D48AD" w:rsidRPr="009D469E">
        <w:rPr>
          <w:color w:val="000000" w:themeColor="text1"/>
        </w:rPr>
        <w:t xml:space="preserve"> </w:t>
      </w:r>
      <w:r w:rsidRPr="009D469E">
        <w:rPr>
          <w:color w:val="000000" w:themeColor="text1"/>
        </w:rPr>
        <w:t xml:space="preserve">concludes </w:t>
      </w:r>
      <w:r w:rsidR="00245C42">
        <w:rPr>
          <w:color w:val="000000" w:themeColor="text1"/>
        </w:rPr>
        <w:t xml:space="preserve">on </w:t>
      </w:r>
      <w:r w:rsidRPr="009D469E">
        <w:rPr>
          <w:color w:val="000000" w:themeColor="text1"/>
        </w:rPr>
        <w:t>the paper’s broad implications.</w:t>
      </w:r>
    </w:p>
    <w:p w14:paraId="58250AA9" w14:textId="7D375D2D" w:rsidR="00C532AB" w:rsidRPr="009D469E" w:rsidRDefault="00393396" w:rsidP="004B08E7">
      <w:pPr>
        <w:pStyle w:val="Heading1"/>
        <w:keepNext/>
        <w:contextualSpacing/>
        <w:rPr>
          <w:szCs w:val="24"/>
        </w:rPr>
      </w:pPr>
      <w:r>
        <w:rPr>
          <w:szCs w:val="24"/>
        </w:rPr>
        <w:t>I</w:t>
      </w:r>
      <w:r w:rsidR="009231B8">
        <w:rPr>
          <w:szCs w:val="24"/>
        </w:rPr>
        <w:t>I</w:t>
      </w:r>
      <w:r w:rsidR="00C532AB" w:rsidRPr="009D469E">
        <w:rPr>
          <w:szCs w:val="24"/>
        </w:rPr>
        <w:t>. QUANTITATIVE ANALYSIS OF FOMC TRANSCRIPTS ON THE TRADEOFF</w:t>
      </w:r>
    </w:p>
    <w:p w14:paraId="532CE07B" w14:textId="290B3C2B" w:rsidR="003804E4" w:rsidRDefault="00BE7E4B" w:rsidP="00073512">
      <w:r>
        <w:t>Approaching the FOMC</w:t>
      </w:r>
      <w:r w:rsidR="00C532AB" w:rsidRPr="009D469E">
        <w:t xml:space="preserve"> as a collective body</w:t>
      </w:r>
      <w:r>
        <w:t xml:space="preserve">, we </w:t>
      </w:r>
      <w:r w:rsidR="00C532AB" w:rsidRPr="009D469E">
        <w:t xml:space="preserve">follow the well-established </w:t>
      </w:r>
      <w:r w:rsidR="00073512">
        <w:t>method</w:t>
      </w:r>
      <w:r w:rsidR="00073512" w:rsidRPr="009D469E">
        <w:t xml:space="preserve"> </w:t>
      </w:r>
      <w:r w:rsidR="00C532AB" w:rsidRPr="009D469E">
        <w:t>of examining FOMC transcripts in unpacking the Fed’s discussions and policy stances (Meade and Thornton 201</w:t>
      </w:r>
      <w:r w:rsidR="00D530BF">
        <w:t>2</w:t>
      </w:r>
      <w:r w:rsidR="00C532AB" w:rsidRPr="009D469E">
        <w:t xml:space="preserve">; </w:t>
      </w:r>
      <w:r w:rsidR="00F53CB4" w:rsidRPr="009D469E">
        <w:t>Schonhardt-Bailey 2013</w:t>
      </w:r>
      <w:r w:rsidR="00F53CB4">
        <w:t xml:space="preserve">; </w:t>
      </w:r>
      <w:r w:rsidR="00C532AB" w:rsidRPr="009D469E">
        <w:t>Golub et al 2014</w:t>
      </w:r>
      <w:r w:rsidR="0053708C">
        <w:t>;</w:t>
      </w:r>
      <w:r w:rsidR="00247651">
        <w:t xml:space="preserve"> </w:t>
      </w:r>
      <w:r w:rsidR="003D08F1">
        <w:t xml:space="preserve">Meade et al 2015; </w:t>
      </w:r>
      <w:r w:rsidR="00247651">
        <w:t>Ericsson 2016</w:t>
      </w:r>
      <w:r w:rsidR="00C532AB" w:rsidRPr="009D469E">
        <w:t>)</w:t>
      </w:r>
      <w:r w:rsidR="008F3FEF">
        <w:t>, but</w:t>
      </w:r>
      <w:r w:rsidR="00E10ED8">
        <w:t xml:space="preserve"> </w:t>
      </w:r>
      <w:r w:rsidR="008F3FEF">
        <w:t xml:space="preserve">expand this literature </w:t>
      </w:r>
      <w:r w:rsidR="00C532AB" w:rsidRPr="009D469E">
        <w:t xml:space="preserve">in important ways. The time period examined, and therefore the </w:t>
      </w:r>
      <w:r w:rsidR="00C532AB" w:rsidRPr="009D469E">
        <w:lastRenderedPageBreak/>
        <w:t>number of transcripts, is more than any of the previous analyses—532 FOMC transcripts from April</w:t>
      </w:r>
      <w:r w:rsidR="00D45FB6">
        <w:t xml:space="preserve"> 12,</w:t>
      </w:r>
      <w:r w:rsidR="00C532AB" w:rsidRPr="009D469E">
        <w:t xml:space="preserve"> 1960 to December</w:t>
      </w:r>
      <w:r w:rsidR="00C7315D">
        <w:t xml:space="preserve"> 14,</w:t>
      </w:r>
      <w:r w:rsidR="00C532AB" w:rsidRPr="009D469E">
        <w:t xml:space="preserve"> 2010, which amounts to approximately 18 million words to code for discussions on inflation and unemployment.</w:t>
      </w:r>
      <w:r w:rsidR="00C532AB" w:rsidRPr="009D469E">
        <w:rPr>
          <w:rStyle w:val="FootnoteReference"/>
          <w:color w:val="000000" w:themeColor="text1"/>
        </w:rPr>
        <w:footnoteReference w:id="5"/>
      </w:r>
      <w:r w:rsidR="00C532AB" w:rsidRPr="009D469E">
        <w:t xml:space="preserve"> In comparison, for instance, Meade and Thornton’s (201</w:t>
      </w:r>
      <w:r w:rsidR="00D530BF">
        <w:t>2</w:t>
      </w:r>
      <w:r w:rsidR="00C532AB" w:rsidRPr="009D469E">
        <w:t>) extensive analysis on the output gap covers 1979-2003</w:t>
      </w:r>
      <w:r w:rsidR="007038CC">
        <w:t xml:space="preserve">, </w:t>
      </w:r>
      <w:r w:rsidR="00C532AB" w:rsidRPr="009D469E">
        <w:t>Schonhardt-Bailey’s (2013) study relies on “ten text files” from the Miller, Volcker, and Greenspan eras (2013, 71)</w:t>
      </w:r>
      <w:r w:rsidR="007038CC">
        <w:t>, and Meade et al (2015) undertake textual analysis on FOMC transcripts</w:t>
      </w:r>
      <w:r w:rsidR="003C653A">
        <w:t xml:space="preserve"> in 2005-2014</w:t>
      </w:r>
      <w:r w:rsidR="00C532AB" w:rsidRPr="009D469E">
        <w:t>. Our study covers FOMC meetings from Martin, Burns, Miller, Volcker, Greenspan and Bernanke eras.</w:t>
      </w:r>
      <w:r w:rsidR="00C532AB" w:rsidRPr="009D469E">
        <w:rPr>
          <w:rStyle w:val="FootnoteReference"/>
          <w:color w:val="000000" w:themeColor="text1"/>
        </w:rPr>
        <w:footnoteReference w:id="6"/>
      </w:r>
      <w:r w:rsidR="00C532AB" w:rsidRPr="009D469E">
        <w:t xml:space="preserve"> Such a focus is particularly important because analyses that start with the Volcker era will inevitably be emphasizing the uniqueness of that era, and studies that focus on a shorter span will miss the regime changes. </w:t>
      </w:r>
    </w:p>
    <w:p w14:paraId="74CBA07D" w14:textId="64AF9074" w:rsidR="00C532AB" w:rsidRPr="009D469E" w:rsidRDefault="00F00FBF" w:rsidP="009A7619">
      <w:r>
        <w:t>S</w:t>
      </w:r>
      <w:r w:rsidRPr="009D469E">
        <w:t>hown in Figure 1</w:t>
      </w:r>
      <w:r>
        <w:t>, o</w:t>
      </w:r>
      <w:r w:rsidR="00C532AB" w:rsidRPr="009D469E">
        <w:t>ur dependent variable is INFL, which, to recall, is discussions of inflation</w:t>
      </w:r>
      <w:r w:rsidR="00C36B39">
        <w:t xml:space="preserve"> </w:t>
      </w:r>
      <w:r w:rsidR="002E6DEC">
        <w:t>divided by</w:t>
      </w:r>
      <w:r w:rsidR="00C36B39">
        <w:t xml:space="preserve"> </w:t>
      </w:r>
      <w:r w:rsidR="00C532AB" w:rsidRPr="009D469E">
        <w:t>discussions of inflation</w:t>
      </w:r>
      <w:r w:rsidR="00A7481F">
        <w:t xml:space="preserve"> plus</w:t>
      </w:r>
      <w:r w:rsidR="00C532AB" w:rsidRPr="009D469E">
        <w:t xml:space="preserve"> discussions of unemployment.</w:t>
      </w:r>
      <w:r w:rsidR="00EB2FE6">
        <w:t xml:space="preserve"> </w:t>
      </w:r>
      <w:r w:rsidR="00C532AB" w:rsidRPr="009D469E">
        <w:t>Using this ratio rather than the absolute number of mentions of inflation or unemployment controls for the different lengths in transcripts.</w:t>
      </w:r>
      <w:r w:rsidR="003C5995">
        <w:t xml:space="preserve"> </w:t>
      </w:r>
      <w:r w:rsidR="00873FEF" w:rsidRPr="009D469E">
        <w:t>We used Atlas.ti software to count the concept frequencies</w:t>
      </w:r>
      <w:r w:rsidR="00296255">
        <w:t>, and t</w:t>
      </w:r>
      <w:r w:rsidR="0017224B">
        <w:t xml:space="preserve">he </w:t>
      </w:r>
      <w:r w:rsidR="00A75148">
        <w:t>concepts used to construct INFL are</w:t>
      </w:r>
      <w:r w:rsidR="0017224B">
        <w:t xml:space="preserve"> </w:t>
      </w:r>
      <w:r w:rsidR="00E0668F">
        <w:t>detailed</w:t>
      </w:r>
      <w:r w:rsidR="00296255">
        <w:t xml:space="preserve"> in Appendix A. T</w:t>
      </w:r>
      <w:r w:rsidR="0017224B">
        <w:t xml:space="preserve">o briefly explain, we count not just direct </w:t>
      </w:r>
      <w:r w:rsidR="009226A1">
        <w:t>references to</w:t>
      </w:r>
      <w:r w:rsidR="0017224B">
        <w:t xml:space="preserve"> inflation and unemployment, but also concepts that proxy discussions on inflation and unemployment. For example, </w:t>
      </w:r>
      <w:r w:rsidR="000B7BE3">
        <w:t>“inflation” includes</w:t>
      </w:r>
      <w:r w:rsidR="003510B6">
        <w:t xml:space="preserve"> no</w:t>
      </w:r>
      <w:r w:rsidR="00D0723A">
        <w:t>t just direct</w:t>
      </w:r>
      <w:r w:rsidR="000B7BE3">
        <w:t xml:space="preserve"> mentions of inflation</w:t>
      </w:r>
      <w:r w:rsidR="00D0723A">
        <w:t xml:space="preserve"> and the price level,</w:t>
      </w:r>
      <w:r w:rsidR="000B7BE3">
        <w:t xml:space="preserve"> </w:t>
      </w:r>
      <w:r w:rsidR="00D0723A">
        <w:t>but also</w:t>
      </w:r>
      <w:r w:rsidR="000B7BE3">
        <w:t xml:space="preserve"> mentions of CPI, PCE, inflationary</w:t>
      </w:r>
      <w:r w:rsidR="002A5E87">
        <w:t>, but it excludes</w:t>
      </w:r>
      <w:r w:rsidR="000B7BE3">
        <w:t xml:space="preserve"> inflation </w:t>
      </w:r>
      <w:r w:rsidR="000B7BE3">
        <w:lastRenderedPageBreak/>
        <w:t xml:space="preserve">targeting (given it is distinct from what we are aiming to measure). Further, each of the concepts under the heading of inflation include multiple words that aim to capture </w:t>
      </w:r>
      <w:r w:rsidR="007F6DCD">
        <w:t>discussions on that concept</w:t>
      </w:r>
      <w:r w:rsidR="000B7BE3">
        <w:t>—most basically, for instance, CPI includes the abbreviated and non-abbreviated forms of the concept (i.e. CPI plus Consumer Price Index).</w:t>
      </w:r>
      <w:r w:rsidR="009A7619">
        <w:t xml:space="preserve"> </w:t>
      </w:r>
      <w:r w:rsidR="00C532AB" w:rsidRPr="009D469E">
        <w:t>We examined transcripts from different eras to ensure the codings</w:t>
      </w:r>
      <w:r w:rsidR="009A7619">
        <w:t xml:space="preserve"> in Appendix A</w:t>
      </w:r>
      <w:r w:rsidR="00C532AB" w:rsidRPr="009D469E">
        <w:t xml:space="preserve"> indeed matched actual FOMC references to the examined issues. For robustness analysis, we used alternative measurements of the inflation and unemployment codings to create a different dependent variable (Appendix A1), but substituting INFL with this alternative did not change the main results presented in this paper (results available upon request).</w:t>
      </w:r>
      <w:r w:rsidR="00197D42">
        <w:t xml:space="preserve"> </w:t>
      </w:r>
      <w:r w:rsidR="00C532AB" w:rsidRPr="009D469E">
        <w:t>This semi-automated content analysis method is well suited to the research question at hand since the specific focus is on discussions of inflation versus unemployment. Other methods, such as topic modelling that would rely on the computer program to determine all “topics” of Fed discussions, would thus not enable us to focus closely on the P</w:t>
      </w:r>
      <w:r w:rsidR="005D6129">
        <w:t xml:space="preserve">hillips </w:t>
      </w:r>
      <w:r w:rsidR="00C532AB" w:rsidRPr="009D469E">
        <w:t>C</w:t>
      </w:r>
      <w:r w:rsidR="005D6129">
        <w:t>urve</w:t>
      </w:r>
      <w:r w:rsidR="00C532AB" w:rsidRPr="009D469E">
        <w:t xml:space="preserve"> tradeoff. </w:t>
      </w:r>
    </w:p>
    <w:p w14:paraId="42D8CF8D" w14:textId="26ACDEC7" w:rsidR="00C532AB" w:rsidRPr="009D469E" w:rsidRDefault="00C532AB" w:rsidP="001369FF">
      <w:pPr>
        <w:contextualSpacing/>
      </w:pPr>
      <w:r w:rsidRPr="009D469E">
        <w:t xml:space="preserve">Figure 1 showed the increase in INFL over time and suggested an </w:t>
      </w:r>
      <w:r w:rsidR="005A75BE">
        <w:t>enhanced</w:t>
      </w:r>
      <w:r w:rsidRPr="009D469E">
        <w:t xml:space="preserve"> focus on inflation disconnected from the actual level of inflation in the post-Volcker era. We now turn to regression analysis to analyze these points. The general form of our specification in Table 1 is: </w:t>
      </w:r>
    </w:p>
    <w:p w14:paraId="129F1CAE" w14:textId="1AB9B207" w:rsidR="00C532AB" w:rsidRPr="009D469E" w:rsidRDefault="00C532AB" w:rsidP="001369FF">
      <w:pPr>
        <w:spacing w:line="240" w:lineRule="auto"/>
        <w:contextualSpacing/>
        <w:jc w:val="center"/>
      </w:pPr>
      <w:r w:rsidRPr="009D469E">
        <w:t>INF</w:t>
      </w:r>
      <w:r w:rsidR="00873274">
        <w:t>L</w:t>
      </w:r>
      <w:r w:rsidR="00685306">
        <w:t xml:space="preserve"> </w:t>
      </w:r>
      <w:r w:rsidR="009B2FE1" w:rsidRPr="00B71927">
        <w:rPr>
          <w:i/>
          <w:vertAlign w:val="subscript"/>
        </w:rPr>
        <w:t>t</w:t>
      </w:r>
      <w:r w:rsidRPr="009D469E">
        <w:t xml:space="preserve"> = </w:t>
      </w:r>
      <w:r w:rsidR="00685306">
        <w:sym w:font="Symbol" w:char="F061"/>
      </w:r>
      <w:r w:rsidR="00685306">
        <w:rPr>
          <w:vertAlign w:val="subscript"/>
        </w:rPr>
        <w:t>0</w:t>
      </w:r>
      <w:r w:rsidR="00685306">
        <w:t xml:space="preserve"> + </w:t>
      </w:r>
      <w:r w:rsidRPr="009D469E">
        <w:sym w:font="Symbol" w:char="F061"/>
      </w:r>
      <w:r w:rsidRPr="009D469E">
        <w:rPr>
          <w:vertAlign w:val="subscript"/>
        </w:rPr>
        <w:t>1</w:t>
      </w:r>
      <w:r w:rsidRPr="009D469E">
        <w:t>Annualized Growth Rate of CPI</w:t>
      </w:r>
      <w:r w:rsidR="00685306">
        <w:t xml:space="preserve"> </w:t>
      </w:r>
      <w:r w:rsidR="007259AA" w:rsidRPr="00B71927">
        <w:rPr>
          <w:i/>
          <w:vertAlign w:val="subscript"/>
        </w:rPr>
        <w:t>t</w:t>
      </w:r>
      <w:r w:rsidRPr="00B71927">
        <w:rPr>
          <w:i/>
        </w:rPr>
        <w:t xml:space="preserve"> </w:t>
      </w:r>
      <w:r w:rsidRPr="009D469E">
        <w:t xml:space="preserve">+ </w:t>
      </w:r>
      <w:r w:rsidRPr="009D469E">
        <w:sym w:font="Symbol" w:char="F061"/>
      </w:r>
      <w:r w:rsidRPr="009D469E">
        <w:rPr>
          <w:vertAlign w:val="subscript"/>
        </w:rPr>
        <w:t>2</w:t>
      </w:r>
      <w:r w:rsidRPr="009D469E">
        <w:t>Civilian</w:t>
      </w:r>
    </w:p>
    <w:p w14:paraId="7D1C0B7C" w14:textId="4A9A3F89" w:rsidR="00C532AB" w:rsidRPr="009D469E" w:rsidRDefault="00C532AB" w:rsidP="001369FF">
      <w:pPr>
        <w:spacing w:line="240" w:lineRule="auto"/>
        <w:contextualSpacing/>
        <w:jc w:val="right"/>
      </w:pPr>
      <w:r w:rsidRPr="009D469E">
        <w:t>Unemployment Rate</w:t>
      </w:r>
      <w:r w:rsidR="00685306">
        <w:t xml:space="preserve"> </w:t>
      </w:r>
      <w:r w:rsidR="007259AA" w:rsidRPr="00B71927">
        <w:rPr>
          <w:i/>
          <w:vertAlign w:val="subscript"/>
        </w:rPr>
        <w:t>t</w:t>
      </w:r>
      <w:r w:rsidRPr="009D469E">
        <w:t xml:space="preserve"> + Other Regressors</w:t>
      </w:r>
      <w:r w:rsidR="004D60FF">
        <w:t xml:space="preserve"> + </w:t>
      </w:r>
      <w:r w:rsidR="00DD33E7">
        <w:sym w:font="Symbol" w:char="F065"/>
      </w:r>
      <w:r w:rsidR="00685306" w:rsidRPr="00B71927">
        <w:rPr>
          <w:i/>
          <w:vertAlign w:val="subscript"/>
        </w:rPr>
        <w:t>t</w:t>
      </w:r>
      <w:r w:rsidRPr="009D469E">
        <w:tab/>
      </w:r>
      <w:r w:rsidRPr="009D469E">
        <w:tab/>
      </w:r>
      <w:r w:rsidRPr="009D469E">
        <w:tab/>
        <w:t>(</w:t>
      </w:r>
      <w:r w:rsidR="00B169C0">
        <w:rPr>
          <w:noProof/>
        </w:rPr>
        <w:t>1</w:t>
      </w:r>
      <w:r w:rsidRPr="009D469E">
        <w:t>)</w:t>
      </w:r>
    </w:p>
    <w:p w14:paraId="6A6D8C19" w14:textId="77777777" w:rsidR="00C36B39" w:rsidRDefault="00C36B39" w:rsidP="001369FF">
      <w:pPr>
        <w:ind w:firstLine="0"/>
        <w:contextualSpacing/>
      </w:pPr>
    </w:p>
    <w:p w14:paraId="00D39F3C" w14:textId="60EF7136" w:rsidR="005B78C3" w:rsidRDefault="00C532AB" w:rsidP="001369FF">
      <w:pPr>
        <w:ind w:firstLine="0"/>
        <w:contextualSpacing/>
      </w:pPr>
      <w:r w:rsidRPr="009D469E">
        <w:t>Our data for inflation and unemployment come largely from the Greenbooks, which contain the data prepared for each FOMC meeting. From these Greenbooks, we use the annualized growth rate of CPI and the civilian unemployment rate</w:t>
      </w:r>
      <w:r w:rsidR="00F072CD">
        <w:t xml:space="preserve"> in the immediate quarter</w:t>
      </w:r>
      <w:r w:rsidRPr="009D469E">
        <w:t xml:space="preserve"> before the Greenbook</w:t>
      </w:r>
      <w:r w:rsidR="00F072CD">
        <w:t xml:space="preserve"> </w:t>
      </w:r>
      <w:r w:rsidR="00F072CD">
        <w:lastRenderedPageBreak/>
        <w:t>date</w:t>
      </w:r>
      <w:r w:rsidRPr="009D469E">
        <w:t>.</w:t>
      </w:r>
      <w:r w:rsidRPr="009D469E">
        <w:rPr>
          <w:rStyle w:val="FootnoteReference"/>
          <w:color w:val="000000" w:themeColor="text1"/>
        </w:rPr>
        <w:footnoteReference w:id="7"/>
      </w:r>
      <w:r w:rsidRPr="009D469E">
        <w:t xml:space="preserve"> </w:t>
      </w:r>
      <w:r w:rsidR="00C36B39">
        <w:t>Hence</w:t>
      </w:r>
      <w:r w:rsidRPr="009D469E">
        <w:t xml:space="preserve"> we use real-time data—what the FOMC observed at the time based on the Greenbooks, since these are the variables that the Fed would be considering in their decisions. As Ben Bernanke (2015) emphasizes, it is important to use “data that were known to policymakers at the time they made their decisions. Because initial data are often substantially revised, using real-time data is essential for evaluating policy choices”</w:t>
      </w:r>
      <w:r w:rsidR="0091339D">
        <w:t xml:space="preserve"> (see also Orphani</w:t>
      </w:r>
      <w:r w:rsidR="008F6F0D">
        <w:t>des 2004).</w:t>
      </w:r>
      <w:r w:rsidR="008F6F0D">
        <w:rPr>
          <w:shd w:val="clear" w:color="auto" w:fill="FAFAFA"/>
        </w:rPr>
        <w:t xml:space="preserve"> </w:t>
      </w:r>
      <w:r w:rsidRPr="009D469E">
        <w:t xml:space="preserve">Appendix B includes the summary statistics for all variables used and details the construction of the CPI and unemployment variables. </w:t>
      </w:r>
    </w:p>
    <w:p w14:paraId="12134359" w14:textId="2537DAC7" w:rsidR="00273236" w:rsidRDefault="00C532AB" w:rsidP="001369FF">
      <w:pPr>
        <w:contextualSpacing/>
      </w:pPr>
      <w:r w:rsidRPr="009D469E">
        <w:t>We estimated (</w:t>
      </w:r>
      <w:r w:rsidR="00F072CD">
        <w:t>1</w:t>
      </w:r>
      <w:r w:rsidRPr="009D469E">
        <w:t>) with OLS</w:t>
      </w:r>
      <w:r w:rsidRPr="009D469E">
        <w:rPr>
          <w:rStyle w:val="FootnoteReference"/>
          <w:color w:val="000000" w:themeColor="text1"/>
        </w:rPr>
        <w:footnoteReference w:id="8"/>
      </w:r>
      <w:r w:rsidRPr="009D469E">
        <w:t xml:space="preserve"> and performed the relevant diagnostic tests on INFL.</w:t>
      </w:r>
      <w:r w:rsidRPr="009D469E">
        <w:rPr>
          <w:rStyle w:val="FootnoteReference"/>
          <w:color w:val="000000" w:themeColor="text1"/>
        </w:rPr>
        <w:footnoteReference w:id="9"/>
      </w:r>
      <w:r w:rsidRPr="009D469E">
        <w:t xml:space="preserve"> To handle the high degree of autocorrelation, which is common to time series data, we </w:t>
      </w:r>
      <w:r w:rsidR="00CD5A1A">
        <w:t>include</w:t>
      </w:r>
      <w:r w:rsidR="00CD5A1A" w:rsidRPr="009D469E">
        <w:t xml:space="preserve"> </w:t>
      </w:r>
      <w:r w:rsidRPr="009D469E">
        <w:t xml:space="preserve">lagged values of the dependent variable </w:t>
      </w:r>
      <w:r w:rsidR="00CD5A1A">
        <w:t>in</w:t>
      </w:r>
      <w:r w:rsidRPr="009D469E">
        <w:t xml:space="preserve"> the estimations.</w:t>
      </w:r>
      <w:r w:rsidRPr="009D469E">
        <w:rPr>
          <w:rStyle w:val="FootnoteReference"/>
          <w:color w:val="000000" w:themeColor="text1"/>
        </w:rPr>
        <w:footnoteReference w:id="10"/>
      </w:r>
      <w:r w:rsidRPr="009D469E">
        <w:t xml:space="preserve"> The main points of interest in Table 1 are the pattern of FOMC discussions on inflation relative to unemployment (INFL) over time and whether there was a regime shift in these discussions at some point. </w:t>
      </w:r>
    </w:p>
    <w:p w14:paraId="217A59E1" w14:textId="5CD70712" w:rsidR="00C532AB" w:rsidRPr="009D469E" w:rsidRDefault="00C532AB" w:rsidP="001369FF">
      <w:pPr>
        <w:contextualSpacing/>
      </w:pPr>
      <w:r w:rsidRPr="009D469E">
        <w:t>We determine any regime change in the discussions through a combination of statistical tests and a priori reasoning. Testing for a “known break” in the time series at the beginning of the Vol</w:t>
      </w:r>
      <w:r w:rsidR="00AB5E8A">
        <w:t>c</w:t>
      </w:r>
      <w:r w:rsidRPr="009D469E">
        <w:t xml:space="preserve">ker chairmanship, we can reject the null hypothesis of no break with a p-value less than </w:t>
      </w:r>
      <w:r w:rsidRPr="009D469E">
        <w:lastRenderedPageBreak/>
        <w:t>.000</w:t>
      </w:r>
      <w:r w:rsidR="001752D1">
        <w:t>0</w:t>
      </w:r>
      <w:r w:rsidR="00167A28">
        <w:t>1</w:t>
      </w:r>
      <w:r w:rsidRPr="009D469E">
        <w:t>.</w:t>
      </w:r>
      <w:r w:rsidR="00C76827">
        <w:t xml:space="preserve"> </w:t>
      </w:r>
      <w:r w:rsidRPr="009D469E">
        <w:t xml:space="preserve">We also ran the Quandt Likelihood Ratio test (QLR), and the results </w:t>
      </w:r>
      <w:r w:rsidR="00413A5D">
        <w:t xml:space="preserve">also </w:t>
      </w:r>
      <w:r w:rsidRPr="009D469E">
        <w:t>suggest the Volcker era as the “unknown break” in the series (</w:t>
      </w:r>
      <w:r w:rsidR="000F5DF0">
        <w:t>shown</w:t>
      </w:r>
      <w:r w:rsidRPr="009D469E">
        <w:t xml:space="preserve"> in Appendix C).</w:t>
      </w:r>
      <w:r w:rsidRPr="009D469E">
        <w:rPr>
          <w:rStyle w:val="FootnoteReference"/>
        </w:rPr>
        <w:footnoteReference w:id="11"/>
      </w:r>
      <w:r w:rsidRPr="009D469E">
        <w:t xml:space="preserve"> </w:t>
      </w:r>
    </w:p>
    <w:p w14:paraId="7D66C143" w14:textId="4037314E" w:rsidR="00C532AB" w:rsidRPr="009D469E" w:rsidRDefault="00306625" w:rsidP="001369FF">
      <w:pPr>
        <w:contextualSpacing/>
      </w:pPr>
      <w:r>
        <w:t>As a result of</w:t>
      </w:r>
      <w:r w:rsidR="00C532AB" w:rsidRPr="009D469E">
        <w:t xml:space="preserve"> these tests, </w:t>
      </w:r>
      <w:r w:rsidR="00C76827" w:rsidRPr="009D469E">
        <w:t xml:space="preserve">the estimations </w:t>
      </w:r>
      <w:r w:rsidR="00C532AB" w:rsidRPr="009D469E">
        <w:t xml:space="preserve">include </w:t>
      </w:r>
      <w:r w:rsidR="00C532AB" w:rsidRPr="009D469E">
        <w:rPr>
          <w:i/>
        </w:rPr>
        <w:t>break</w:t>
      </w:r>
      <w:r w:rsidR="00C532AB" w:rsidRPr="009D469E">
        <w:t>, a dummy variable where pre-Volcker eras are 0 and Volcker and post-Volcker eras are 1.</w:t>
      </w:r>
      <w:r w:rsidR="00BE2C81">
        <w:rPr>
          <w:rStyle w:val="FootnoteReference"/>
        </w:rPr>
        <w:footnoteReference w:id="12"/>
      </w:r>
      <w:r w:rsidR="00C76827">
        <w:t xml:space="preserve"> </w:t>
      </w:r>
      <w:r w:rsidR="00C532AB" w:rsidRPr="009D469E">
        <w:t xml:space="preserve">We interact </w:t>
      </w:r>
      <w:r w:rsidR="00C532AB" w:rsidRPr="009D469E">
        <w:rPr>
          <w:i/>
        </w:rPr>
        <w:t xml:space="preserve">break </w:t>
      </w:r>
      <w:r w:rsidR="00C532AB" w:rsidRPr="009D469E">
        <w:t xml:space="preserve">with the inflation and unemployment variables to assess any change in FOMC discussions. We also include </w:t>
      </w:r>
      <w:r w:rsidR="00C532AB" w:rsidRPr="009D469E">
        <w:rPr>
          <w:i/>
        </w:rPr>
        <w:t>time</w:t>
      </w:r>
      <w:r w:rsidR="00C532AB" w:rsidRPr="009D469E">
        <w:t>, a continuous variable that runs from the first FOMC meeting in the sample to the last one and</w:t>
      </w:r>
      <w:r w:rsidR="00C76827">
        <w:t xml:space="preserve"> also</w:t>
      </w:r>
      <w:r w:rsidR="00C532AB" w:rsidRPr="009D469E">
        <w:t xml:space="preserve"> interact </w:t>
      </w:r>
      <w:r w:rsidR="00C76827">
        <w:t xml:space="preserve">it </w:t>
      </w:r>
      <w:r w:rsidR="00C532AB" w:rsidRPr="009D469E">
        <w:t xml:space="preserve">with </w:t>
      </w:r>
      <w:r w:rsidR="00C532AB" w:rsidRPr="009D469E">
        <w:rPr>
          <w:i/>
        </w:rPr>
        <w:t>break</w:t>
      </w:r>
      <w:r w:rsidR="00C532AB" w:rsidRPr="009D469E">
        <w:t xml:space="preserve">. </w:t>
      </w:r>
      <w:r w:rsidR="00C532AB" w:rsidRPr="009D469E">
        <w:rPr>
          <w:i/>
        </w:rPr>
        <w:t xml:space="preserve">Time </w:t>
      </w:r>
      <w:r w:rsidR="00C532AB" w:rsidRPr="009D469E">
        <w:t xml:space="preserve">allows us to control for the over-time increase in INFL observed in Figure 1 and to assess whether post-Volcker, INFL </w:t>
      </w:r>
      <w:r w:rsidR="00D67883">
        <w:t xml:space="preserve">ceased to be related to time </w:t>
      </w:r>
      <w:r w:rsidR="00C532AB" w:rsidRPr="009D469E">
        <w:t xml:space="preserve">as suggested by Figure 1. Again to assess shifts across different eras, we include chair dummies in estimations with no </w:t>
      </w:r>
      <w:r w:rsidR="00C532AB" w:rsidRPr="009D469E">
        <w:rPr>
          <w:i/>
        </w:rPr>
        <w:t>break</w:t>
      </w:r>
      <w:r w:rsidR="00C532AB" w:rsidRPr="009D469E">
        <w:t>.</w:t>
      </w:r>
    </w:p>
    <w:p w14:paraId="22B9EDB3" w14:textId="4EE2A334" w:rsidR="00C532AB" w:rsidRDefault="00C532AB" w:rsidP="001369FF">
      <w:pPr>
        <w:contextualSpacing/>
      </w:pPr>
      <w:r w:rsidRPr="009D469E">
        <w:t xml:space="preserve">Additionally, in our preferred estimations, we control for committee characteristics: the ideological composition of the Committee, proxied by </w:t>
      </w:r>
      <w:r w:rsidR="002916D0">
        <w:t>whether the</w:t>
      </w:r>
      <w:r w:rsidR="00084A29">
        <w:t xml:space="preserve"> Fed Board</w:t>
      </w:r>
      <w:r w:rsidRPr="009D469E">
        <w:t xml:space="preserve"> Governor</w:t>
      </w:r>
      <w:r w:rsidR="00084A29">
        <w:t>s</w:t>
      </w:r>
      <w:r w:rsidRPr="009D469E">
        <w:t xml:space="preserve"> on the FOMC </w:t>
      </w:r>
      <w:r w:rsidR="002916D0">
        <w:t xml:space="preserve">were </w:t>
      </w:r>
      <w:r w:rsidRPr="009D469E">
        <w:t>appointed by a Democratic or Republican President, since Democrats may be more prone to prefer lower interest rates</w:t>
      </w:r>
      <w:r w:rsidR="004E3146">
        <w:t xml:space="preserve"> (e.g., McGregor 1996)</w:t>
      </w:r>
      <w:r w:rsidRPr="009D469E">
        <w:t>; the disciplinary leanings of the Committee, proxied by the number of members of the FOMC with a PhD in Economics (given the relevance of academic debates); and the number of women on the committee</w:t>
      </w:r>
      <w:r w:rsidR="004E3146">
        <w:t xml:space="preserve"> (e.g., </w:t>
      </w:r>
      <w:r w:rsidR="004E3146" w:rsidRPr="0044482C">
        <w:rPr>
          <w:color w:val="000000" w:themeColor="text1"/>
        </w:rPr>
        <w:t>Gardner and Woolley 2016)</w:t>
      </w:r>
      <w:r w:rsidRPr="009D469E">
        <w:t>.</w:t>
      </w:r>
      <w:r w:rsidR="0065490D">
        <w:t xml:space="preserve"> In all these cases, we use proportions—for instance, the number of FOMC members with an Economics PhD out of all the FOMC members.</w:t>
      </w:r>
    </w:p>
    <w:p w14:paraId="5541CF2E" w14:textId="0F831C27" w:rsidR="00C532AB" w:rsidRDefault="00C532AB" w:rsidP="001369FF">
      <w:pPr>
        <w:contextualSpacing/>
        <w:rPr>
          <w:color w:val="000000" w:themeColor="text1"/>
        </w:rPr>
      </w:pPr>
      <w:r w:rsidRPr="009D469E">
        <w:rPr>
          <w:color w:val="000000" w:themeColor="text1"/>
        </w:rPr>
        <w:t xml:space="preserve">The baseline specification in Table 1 Column (1) gives the expected signs on the CPI and unemployment variables and shows </w:t>
      </w:r>
      <w:r w:rsidRPr="009D469E">
        <w:rPr>
          <w:i/>
          <w:color w:val="000000" w:themeColor="text1"/>
        </w:rPr>
        <w:t>time</w:t>
      </w:r>
      <w:r w:rsidRPr="009D469E">
        <w:rPr>
          <w:color w:val="000000" w:themeColor="text1"/>
        </w:rPr>
        <w:t xml:space="preserve"> as significant. </w:t>
      </w:r>
      <w:r w:rsidR="00372593">
        <w:rPr>
          <w:color w:val="000000" w:themeColor="text1"/>
        </w:rPr>
        <w:t>T</w:t>
      </w:r>
      <w:r w:rsidRPr="009D469E">
        <w:rPr>
          <w:color w:val="000000" w:themeColor="text1"/>
        </w:rPr>
        <w:t>he higher the inflation, the more the FOMC talks about inflation relative to unemployment, and the higher the unemployment</w:t>
      </w:r>
      <w:r w:rsidR="00561BAC">
        <w:rPr>
          <w:color w:val="000000" w:themeColor="text1"/>
        </w:rPr>
        <w:t xml:space="preserve"> rate</w:t>
      </w:r>
      <w:r w:rsidRPr="009D469E">
        <w:rPr>
          <w:color w:val="000000" w:themeColor="text1"/>
        </w:rPr>
        <w:t xml:space="preserve">, </w:t>
      </w:r>
      <w:r w:rsidR="00CE7B09">
        <w:rPr>
          <w:color w:val="000000" w:themeColor="text1"/>
        </w:rPr>
        <w:lastRenderedPageBreak/>
        <w:t>the more they talk about unemployment</w:t>
      </w:r>
      <w:r w:rsidRPr="009D469E">
        <w:rPr>
          <w:color w:val="000000" w:themeColor="text1"/>
        </w:rPr>
        <w:t xml:space="preserve">. </w:t>
      </w:r>
      <w:r w:rsidR="00CE7B09">
        <w:rPr>
          <w:color w:val="000000" w:themeColor="text1"/>
        </w:rPr>
        <w:t>But</w:t>
      </w:r>
      <w:r w:rsidRPr="009D469E">
        <w:rPr>
          <w:color w:val="000000" w:themeColor="text1"/>
        </w:rPr>
        <w:t xml:space="preserve">, as time goes on, the discussions </w:t>
      </w:r>
      <w:r w:rsidR="00CE7B09">
        <w:rPr>
          <w:color w:val="000000" w:themeColor="text1"/>
        </w:rPr>
        <w:t>increasingly emphasize</w:t>
      </w:r>
      <w:r w:rsidRPr="009D469E">
        <w:rPr>
          <w:color w:val="000000" w:themeColor="text1"/>
        </w:rPr>
        <w:t xml:space="preserve"> inflation </w:t>
      </w:r>
      <w:r w:rsidR="00CE7B09">
        <w:rPr>
          <w:color w:val="000000" w:themeColor="text1"/>
        </w:rPr>
        <w:t>relative to unemployment for any given level of these variables</w:t>
      </w:r>
      <w:r>
        <w:rPr>
          <w:color w:val="000000" w:themeColor="text1"/>
        </w:rPr>
        <w:t>.</w:t>
      </w:r>
    </w:p>
    <w:p w14:paraId="1C3F5679" w14:textId="0A2A72DA" w:rsidR="00156BD5" w:rsidRPr="00770AAC" w:rsidRDefault="00156BD5" w:rsidP="001369FF">
      <w:pPr>
        <w:contextualSpacing/>
        <w:jc w:val="center"/>
      </w:pPr>
      <w:r>
        <w:rPr>
          <w:color w:val="000000" w:themeColor="text1"/>
        </w:rPr>
        <w:t>[Table 1 here]</w:t>
      </w:r>
    </w:p>
    <w:p w14:paraId="130C450B" w14:textId="679BDEA6" w:rsidR="00C532AB" w:rsidRPr="009D469E" w:rsidRDefault="00C532AB" w:rsidP="000F42D6">
      <w:r w:rsidRPr="009D469E">
        <w:t xml:space="preserve">Table 1 Column (2) shows </w:t>
      </w:r>
      <w:r w:rsidRPr="009D469E">
        <w:rPr>
          <w:i/>
        </w:rPr>
        <w:t xml:space="preserve">break </w:t>
      </w:r>
      <w:r w:rsidRPr="009D469E">
        <w:t xml:space="preserve">as significant, </w:t>
      </w:r>
      <w:r w:rsidR="00372593" w:rsidRPr="009D469E">
        <w:t xml:space="preserve">again </w:t>
      </w:r>
      <w:r w:rsidRPr="009D469E">
        <w:t xml:space="preserve">suggesting a shift during Volcker in </w:t>
      </w:r>
      <w:r w:rsidR="00372593">
        <w:t>INFL</w:t>
      </w:r>
      <w:r w:rsidRPr="009D469E">
        <w:t>.</w:t>
      </w:r>
      <w:r w:rsidR="00CD640D">
        <w:t xml:space="preserve"> </w:t>
      </w:r>
      <w:r w:rsidRPr="009D469E">
        <w:t xml:space="preserve">While the coefficient on CPI is not significant due to multicollinearity between that variable and </w:t>
      </w:r>
      <w:r w:rsidRPr="009D469E">
        <w:rPr>
          <w:i/>
        </w:rPr>
        <w:t>time</w:t>
      </w:r>
      <w:r w:rsidRPr="009D469E">
        <w:t xml:space="preserve"> pre-break, it is of the right sign.</w:t>
      </w:r>
      <w:r w:rsidRPr="009D469E">
        <w:rPr>
          <w:rStyle w:val="FootnoteReference"/>
          <w:color w:val="000000" w:themeColor="text1"/>
        </w:rPr>
        <w:footnoteReference w:id="13"/>
      </w:r>
      <w:r w:rsidRPr="009D469E">
        <w:t xml:space="preserve"> Furthermore, the coefficients on </w:t>
      </w:r>
      <w:r w:rsidRPr="009D469E">
        <w:rPr>
          <w:i/>
        </w:rPr>
        <w:t>CPI</w:t>
      </w:r>
      <w:r w:rsidRPr="009D469E">
        <w:t xml:space="preserve"> and </w:t>
      </w:r>
      <w:r w:rsidRPr="009D469E">
        <w:rPr>
          <w:i/>
        </w:rPr>
        <w:t>CPI*break</w:t>
      </w:r>
      <w:r w:rsidRPr="009D469E">
        <w:t xml:space="preserve"> suggest that post-break, the level of inflation virtually ceases to affect INFL.</w:t>
      </w:r>
      <w:r w:rsidRPr="009D469E">
        <w:rPr>
          <w:rStyle w:val="FootnoteReference"/>
          <w:color w:val="000000" w:themeColor="text1"/>
        </w:rPr>
        <w:footnoteReference w:id="14"/>
      </w:r>
      <w:r w:rsidRPr="009D469E">
        <w:t xml:space="preserve"> </w:t>
      </w:r>
    </w:p>
    <w:p w14:paraId="5DA008D8" w14:textId="51D8D0A4" w:rsidR="00C532AB" w:rsidRPr="009D469E" w:rsidRDefault="00C532AB" w:rsidP="001369FF">
      <w:r w:rsidRPr="009D469E">
        <w:t xml:space="preserve">Table 1 Column (3) adds in the control variables on committee characteristics. In addition to what was already noted for Column (2), Column (3) shows the divergent effect of </w:t>
      </w:r>
      <w:r w:rsidRPr="009D469E">
        <w:rPr>
          <w:i/>
        </w:rPr>
        <w:t>time</w:t>
      </w:r>
      <w:r w:rsidRPr="009D469E">
        <w:t xml:space="preserve"> on INFL pre- and post-Volcker. Prior to Volcker, INFL increases with time (coefficient on </w:t>
      </w:r>
      <w:r w:rsidRPr="009D469E">
        <w:rPr>
          <w:i/>
        </w:rPr>
        <w:t>time</w:t>
      </w:r>
      <w:r w:rsidRPr="009D469E">
        <w:t xml:space="preserve">). For Volcker and beyond, however, </w:t>
      </w:r>
      <w:r w:rsidRPr="009D469E">
        <w:rPr>
          <w:i/>
        </w:rPr>
        <w:t>time</w:t>
      </w:r>
      <w:r w:rsidRPr="009D469E">
        <w:t xml:space="preserve"> has no effect on FOMC discussions (the coefficient on </w:t>
      </w:r>
      <w:r w:rsidRPr="009D469E">
        <w:rPr>
          <w:i/>
        </w:rPr>
        <w:t>time</w:t>
      </w:r>
      <w:r w:rsidRPr="009D469E">
        <w:t xml:space="preserve">+ the coefficient on </w:t>
      </w:r>
      <w:r w:rsidRPr="009D469E">
        <w:rPr>
          <w:i/>
        </w:rPr>
        <w:t>break</w:t>
      </w:r>
      <w:r w:rsidRPr="009D469E">
        <w:t>*</w:t>
      </w:r>
      <w:r w:rsidRPr="009D469E">
        <w:rPr>
          <w:i/>
        </w:rPr>
        <w:t>time</w:t>
      </w:r>
      <w:r w:rsidRPr="009D469E">
        <w:t>).</w:t>
      </w:r>
      <w:r w:rsidRPr="009D469E">
        <w:rPr>
          <w:rStyle w:val="FootnoteReference"/>
          <w:color w:val="000000" w:themeColor="text1"/>
        </w:rPr>
        <w:footnoteReference w:id="15"/>
      </w:r>
    </w:p>
    <w:p w14:paraId="1AB78F42" w14:textId="61B9818F" w:rsidR="00C532AB" w:rsidRPr="009D469E" w:rsidRDefault="00C532AB" w:rsidP="001369FF">
      <w:r w:rsidRPr="009D469E">
        <w:t>Table 1 Column (4) places in the chair dummies. The</w:t>
      </w:r>
      <w:r w:rsidR="00012257">
        <w:t>se</w:t>
      </w:r>
      <w:r w:rsidRPr="009D469E">
        <w:t xml:space="preserve"> results affirm the findings from previous columns: Martin, Volcker, Greenspan, </w:t>
      </w:r>
      <w:r w:rsidRPr="00D2157D">
        <w:t>and Bernanke eras had significantly increased INFL,</w:t>
      </w:r>
      <w:r w:rsidRPr="009D469E">
        <w:t xml:space="preserve"> as Figure 1 descriptively suggested.</w:t>
      </w:r>
      <w:r w:rsidR="00E616A3">
        <w:t xml:space="preserve"> T</w:t>
      </w:r>
      <w:r w:rsidRPr="009D469E">
        <w:t xml:space="preserve">he effects of Volcker and of the two ensuing chairs on INFL are each about four times larger than Martin’s influence on </w:t>
      </w:r>
      <w:r w:rsidR="00F66A7E">
        <w:t>it</w:t>
      </w:r>
      <w:r w:rsidRPr="009D469E">
        <w:t>. This, once again, suggests a regime change during the Volcker era in the nature of discussions on inflation relative to unemployment.</w:t>
      </w:r>
    </w:p>
    <w:p w14:paraId="5CC82EC4" w14:textId="7FA3D628" w:rsidR="00C532AB" w:rsidRPr="009D469E" w:rsidRDefault="00C532AB" w:rsidP="001369FF">
      <w:pPr>
        <w:contextualSpacing/>
        <w:rPr>
          <w:color w:val="000000" w:themeColor="text1"/>
        </w:rPr>
      </w:pPr>
      <w:r w:rsidRPr="009D469E">
        <w:rPr>
          <w:color w:val="000000" w:themeColor="text1"/>
        </w:rPr>
        <w:lastRenderedPageBreak/>
        <w:t xml:space="preserve">Finally, we note two interesting findings on the control variables. The significant and negative impact of </w:t>
      </w:r>
      <w:r w:rsidR="005D6129">
        <w:rPr>
          <w:color w:val="000000" w:themeColor="text1"/>
        </w:rPr>
        <w:t xml:space="preserve">the </w:t>
      </w:r>
      <w:r w:rsidRPr="009D469E">
        <w:rPr>
          <w:color w:val="000000" w:themeColor="text1"/>
        </w:rPr>
        <w:t xml:space="preserve">proportion of Economics PhD among all members in Column (3) suggests FOMC members with academic backgrounds were </w:t>
      </w:r>
      <w:r w:rsidR="00F66A7E">
        <w:rPr>
          <w:color w:val="000000" w:themeColor="text1"/>
        </w:rPr>
        <w:t>more</w:t>
      </w:r>
      <w:r w:rsidR="00F66A7E" w:rsidRPr="009D469E">
        <w:rPr>
          <w:color w:val="000000" w:themeColor="text1"/>
        </w:rPr>
        <w:t xml:space="preserve"> </w:t>
      </w:r>
      <w:r w:rsidRPr="009D469E">
        <w:rPr>
          <w:color w:val="000000" w:themeColor="text1"/>
        </w:rPr>
        <w:t xml:space="preserve">likely to </w:t>
      </w:r>
      <w:r w:rsidR="00F66A7E">
        <w:rPr>
          <w:color w:val="000000" w:themeColor="text1"/>
        </w:rPr>
        <w:t>decrease</w:t>
      </w:r>
      <w:r w:rsidRPr="009D469E">
        <w:rPr>
          <w:color w:val="000000" w:themeColor="text1"/>
        </w:rPr>
        <w:t xml:space="preserve"> </w:t>
      </w:r>
      <w:r w:rsidR="00F66A7E">
        <w:rPr>
          <w:color w:val="000000" w:themeColor="text1"/>
        </w:rPr>
        <w:t>INFL</w:t>
      </w:r>
      <w:r w:rsidRPr="009D469E">
        <w:rPr>
          <w:color w:val="000000" w:themeColor="text1"/>
        </w:rPr>
        <w:t xml:space="preserve">, controlling for a host of other factors. The significant and positive impact of women on INFL (Columns 3, 4) is </w:t>
      </w:r>
      <w:r w:rsidR="00274811">
        <w:rPr>
          <w:color w:val="000000" w:themeColor="text1"/>
        </w:rPr>
        <w:t>also worth noting. The reasons behind both of these results are unclear and a possible subject for future research.</w:t>
      </w:r>
    </w:p>
    <w:p w14:paraId="5A92E7ED" w14:textId="53241CFC" w:rsidR="00C532AB" w:rsidRPr="009D469E" w:rsidRDefault="00C532AB" w:rsidP="001369FF">
      <w:pPr>
        <w:contextualSpacing/>
        <w:rPr>
          <w:color w:val="000000" w:themeColor="text1"/>
        </w:rPr>
      </w:pPr>
      <w:r w:rsidRPr="009D469E">
        <w:rPr>
          <w:color w:val="000000" w:themeColor="text1"/>
        </w:rPr>
        <w:t>All in all, Table 1 provides good evidence to suggest that the FOMC’s discussions evolved over time to emphasize inflation relative to unemployment, independent of underlying patterns of inflation, and this change came about during the Volcker era and was locked-in in the post-Volcker eras.</w:t>
      </w:r>
      <w:r w:rsidR="00507A9E">
        <w:rPr>
          <w:color w:val="000000" w:themeColor="text1"/>
        </w:rPr>
        <w:t xml:space="preserve"> </w:t>
      </w:r>
    </w:p>
    <w:p w14:paraId="62D0E936" w14:textId="32856A10" w:rsidR="00043E87" w:rsidRPr="00B71927" w:rsidRDefault="00C532AB" w:rsidP="00165C3A">
      <w:pPr>
        <w:contextualSpacing/>
        <w:rPr>
          <w:color w:val="000000" w:themeColor="text1"/>
        </w:rPr>
      </w:pPr>
      <w:r w:rsidRPr="009D469E">
        <w:rPr>
          <w:color w:val="000000" w:themeColor="text1"/>
        </w:rPr>
        <w:t xml:space="preserve">We recognize that a limitation of our approach </w:t>
      </w:r>
      <w:r w:rsidR="006F50A0">
        <w:rPr>
          <w:color w:val="000000" w:themeColor="text1"/>
        </w:rPr>
        <w:t>could be</w:t>
      </w:r>
      <w:r w:rsidRPr="009D469E">
        <w:rPr>
          <w:color w:val="000000" w:themeColor="text1"/>
        </w:rPr>
        <w:t xml:space="preserve"> </w:t>
      </w:r>
      <w:r w:rsidR="006F50A0">
        <w:rPr>
          <w:color w:val="000000" w:themeColor="text1"/>
        </w:rPr>
        <w:t>the reliance on</w:t>
      </w:r>
      <w:r w:rsidRPr="009D469E">
        <w:rPr>
          <w:color w:val="000000" w:themeColor="text1"/>
        </w:rPr>
        <w:t xml:space="preserve"> contemporaneous real-time values for inflation and unemployment and not forecasts, which may </w:t>
      </w:r>
      <w:r w:rsidR="006F50A0">
        <w:rPr>
          <w:color w:val="000000" w:themeColor="text1"/>
        </w:rPr>
        <w:t xml:space="preserve">also </w:t>
      </w:r>
      <w:r w:rsidRPr="009D469E">
        <w:rPr>
          <w:color w:val="000000" w:themeColor="text1"/>
        </w:rPr>
        <w:t xml:space="preserve">be influencing FOMC discussions. But, because Greenbook forecast data for CPI does not start until </w:t>
      </w:r>
      <w:r w:rsidRPr="009D469E">
        <w:t>the</w:t>
      </w:r>
      <w:r w:rsidR="002B219B">
        <w:t xml:space="preserve"> October </w:t>
      </w:r>
      <w:r w:rsidR="009430BE">
        <w:t xml:space="preserve">6, </w:t>
      </w:r>
      <w:r w:rsidR="001E3260">
        <w:t>1979</w:t>
      </w:r>
      <w:r w:rsidRPr="009D469E">
        <w:t xml:space="preserve"> meeting</w:t>
      </w:r>
      <w:r w:rsidRPr="009D469E">
        <w:rPr>
          <w:color w:val="000000" w:themeColor="text1"/>
        </w:rPr>
        <w:t xml:space="preserve">, we cannot use </w:t>
      </w:r>
      <w:r w:rsidR="00043E87">
        <w:rPr>
          <w:color w:val="000000" w:themeColor="text1"/>
        </w:rPr>
        <w:t xml:space="preserve">CPI </w:t>
      </w:r>
      <w:r w:rsidRPr="009D469E">
        <w:rPr>
          <w:color w:val="000000" w:themeColor="text1"/>
        </w:rPr>
        <w:t xml:space="preserve">forecasts to determine whether there was a regime change pre- and post-1979. </w:t>
      </w:r>
      <w:r w:rsidR="00043E87">
        <w:rPr>
          <w:color w:val="000000" w:themeColor="text1"/>
        </w:rPr>
        <w:t>We have, however, checked the robustness of our results in two ways</w:t>
      </w:r>
      <w:r w:rsidR="00E56457">
        <w:rPr>
          <w:color w:val="000000" w:themeColor="text1"/>
        </w:rPr>
        <w:t xml:space="preserve">. First, in Appendix </w:t>
      </w:r>
      <w:r w:rsidR="009542D3">
        <w:rPr>
          <w:color w:val="000000" w:themeColor="text1"/>
        </w:rPr>
        <w:t>D1</w:t>
      </w:r>
      <w:r w:rsidR="00E56457">
        <w:rPr>
          <w:color w:val="000000" w:themeColor="text1"/>
        </w:rPr>
        <w:t>, w</w:t>
      </w:r>
      <w:r w:rsidRPr="009D469E">
        <w:rPr>
          <w:color w:val="000000" w:themeColor="text1"/>
        </w:rPr>
        <w:t xml:space="preserve">e </w:t>
      </w:r>
      <w:r w:rsidR="00E56457">
        <w:rPr>
          <w:color w:val="000000" w:themeColor="text1"/>
        </w:rPr>
        <w:t xml:space="preserve">replicate Table 1 </w:t>
      </w:r>
      <w:r w:rsidRPr="009D469E">
        <w:rPr>
          <w:color w:val="000000" w:themeColor="text1"/>
        </w:rPr>
        <w:t>us</w:t>
      </w:r>
      <w:r w:rsidR="00E56457">
        <w:rPr>
          <w:color w:val="000000" w:themeColor="text1"/>
        </w:rPr>
        <w:t>ing</w:t>
      </w:r>
      <w:r w:rsidRPr="009D469E">
        <w:rPr>
          <w:color w:val="000000" w:themeColor="text1"/>
        </w:rPr>
        <w:t xml:space="preserve"> the </w:t>
      </w:r>
      <w:r w:rsidR="00043E87">
        <w:rPr>
          <w:color w:val="000000" w:themeColor="text1"/>
        </w:rPr>
        <w:t xml:space="preserve">CPI </w:t>
      </w:r>
      <w:r w:rsidRPr="009D469E">
        <w:rPr>
          <w:color w:val="000000" w:themeColor="text1"/>
        </w:rPr>
        <w:t>forecast data</w:t>
      </w:r>
      <w:r w:rsidR="00E56457">
        <w:rPr>
          <w:color w:val="000000" w:themeColor="text1"/>
        </w:rPr>
        <w:t>.</w:t>
      </w:r>
      <w:r w:rsidR="00A045F3">
        <w:rPr>
          <w:rStyle w:val="FootnoteReference"/>
          <w:color w:val="000000" w:themeColor="text1"/>
        </w:rPr>
        <w:footnoteReference w:id="16"/>
      </w:r>
      <w:r w:rsidR="00E56457">
        <w:rPr>
          <w:color w:val="000000" w:themeColor="text1"/>
        </w:rPr>
        <w:t xml:space="preserve"> T</w:t>
      </w:r>
      <w:r w:rsidRPr="009D469E">
        <w:rPr>
          <w:color w:val="000000" w:themeColor="text1"/>
        </w:rPr>
        <w:t xml:space="preserve">he results for the post-1979 period do not change appreciably. </w:t>
      </w:r>
      <w:r w:rsidRPr="009D469E">
        <w:t xml:space="preserve">This gives us some confidence that </w:t>
      </w:r>
      <w:r w:rsidR="00D028CC">
        <w:t xml:space="preserve">CPI </w:t>
      </w:r>
      <w:r w:rsidRPr="009D469E">
        <w:t>forecast data for the entire period</w:t>
      </w:r>
      <w:r w:rsidR="00852320">
        <w:t xml:space="preserve"> would likely not change the main</w:t>
      </w:r>
      <w:r w:rsidRPr="009D469E">
        <w:t xml:space="preserve"> results in Table 1.</w:t>
      </w:r>
      <w:r w:rsidR="00C414F4">
        <w:t xml:space="preserve"> Second, in Appendix D</w:t>
      </w:r>
      <w:r w:rsidR="00343C69">
        <w:t>2</w:t>
      </w:r>
      <w:r w:rsidR="00C414F4">
        <w:t>, w</w:t>
      </w:r>
      <w:r w:rsidR="00043E87">
        <w:t>e</w:t>
      </w:r>
      <w:r w:rsidR="00C414F4">
        <w:t xml:space="preserve"> replicate Table 1 using</w:t>
      </w:r>
      <w:r w:rsidR="00043E87">
        <w:t xml:space="preserve"> the forecast data for the GDP deflator</w:t>
      </w:r>
      <w:r w:rsidR="001E3260">
        <w:t>,</w:t>
      </w:r>
      <w:r w:rsidR="00043E87">
        <w:t xml:space="preserve"> which begins </w:t>
      </w:r>
      <w:r w:rsidR="008E286D">
        <w:t xml:space="preserve">on </w:t>
      </w:r>
      <w:r w:rsidR="00FC5478">
        <w:t>April</w:t>
      </w:r>
      <w:r w:rsidR="00AB4EA0">
        <w:t xml:space="preserve"> 4,</w:t>
      </w:r>
      <w:r w:rsidR="00FC5478">
        <w:t xml:space="preserve"> </w:t>
      </w:r>
      <w:r w:rsidR="00043E87">
        <w:t xml:space="preserve">1967. </w:t>
      </w:r>
      <w:r w:rsidR="008E286D">
        <w:t xml:space="preserve">Our main results from Table 1 hold, which further increases our confidence in the </w:t>
      </w:r>
      <w:r w:rsidR="00860DF6">
        <w:t xml:space="preserve">presented </w:t>
      </w:r>
      <w:r w:rsidR="008E286D">
        <w:t>primary findings.</w:t>
      </w:r>
      <w:r w:rsidR="00043E87">
        <w:t xml:space="preserve"> </w:t>
      </w:r>
    </w:p>
    <w:p w14:paraId="7B39C2CF" w14:textId="09B97DF2" w:rsidR="002046AA" w:rsidRPr="009D469E" w:rsidRDefault="00472B78" w:rsidP="00EB112B">
      <w:r>
        <w:lastRenderedPageBreak/>
        <w:t xml:space="preserve">It is beyond the scope of the paper to explain why the </w:t>
      </w:r>
      <w:r w:rsidR="002046AA">
        <w:t>FOMC’s focus on inflation became entrenched</w:t>
      </w:r>
      <w:r w:rsidR="00303A7D">
        <w:t xml:space="preserve">, so </w:t>
      </w:r>
      <w:r w:rsidR="002046AA">
        <w:t>we limit ourselves here to some tentative observations based on previous literature and our reading of the transcripts. One plausible hypothesis is that the Fed, like the Economics profession, was influenced by the seminal contributions of Monetarism and the New Classical economics, notably Phelps (1967), Friedman (1968), Lucas (1972) and Kydland and Prescott (1977). The FOMC transcripts, however, rarely refer to academic literature, supporting</w:t>
      </w:r>
      <w:r w:rsidR="002046AA" w:rsidRPr="009D469E">
        <w:t xml:space="preserve"> Woodford’s statement (2011, 3) that “the conceptual frameworks proposed by central banks to deal with their perceived need for a more systematic approach to policy were, until quite recently, largely developed without much guidance from the academic literature on monetary economics.” </w:t>
      </w:r>
      <w:r w:rsidR="002046AA">
        <w:t>Moreover, as</w:t>
      </w:r>
      <w:r w:rsidR="00B560D2">
        <w:t xml:space="preserve"> Romer and Romer</w:t>
      </w:r>
      <w:r w:rsidR="002046AA">
        <w:t xml:space="preserve"> </w:t>
      </w:r>
      <w:r w:rsidR="00B560D2">
        <w:t>(</w:t>
      </w:r>
      <w:r w:rsidR="002046AA">
        <w:t>2004, 135) point out,</w:t>
      </w:r>
      <w:r w:rsidR="002046AA" w:rsidRPr="009D469E">
        <w:t xml:space="preserve"> </w:t>
      </w:r>
      <w:r w:rsidR="002046AA">
        <w:t>t</w:t>
      </w:r>
      <w:r w:rsidR="002046AA" w:rsidRPr="009D469E">
        <w:t>he FOMC members were well aware of the role of inflationary expectations and a lower bound on unemployment</w:t>
      </w:r>
      <w:r w:rsidR="00EB112B" w:rsidRPr="00EB112B">
        <w:t xml:space="preserve"> </w:t>
      </w:r>
      <w:r w:rsidR="00EB112B" w:rsidRPr="009D469E">
        <w:t>well before Friedman (1968) and Phelps (1967),</w:t>
      </w:r>
      <w:r w:rsidR="002046AA" w:rsidRPr="009D469E">
        <w:t xml:space="preserve"> even if they did not use the term “natural rate</w:t>
      </w:r>
      <w:r w:rsidR="003F6D49">
        <w:t>.</w:t>
      </w:r>
      <w:r w:rsidR="002046AA" w:rsidRPr="009D469E">
        <w:t>”</w:t>
      </w:r>
      <w:r w:rsidR="00EB112B">
        <w:t xml:space="preserve"> Our readings of the transc</w:t>
      </w:r>
      <w:r w:rsidR="00AC2F04">
        <w:t>r</w:t>
      </w:r>
      <w:r w:rsidR="00EB112B">
        <w:t>ipts confirm this view. For example,</w:t>
      </w:r>
      <w:r w:rsidR="00EB112B" w:rsidRPr="009D469E">
        <w:t xml:space="preserve"> at the October</w:t>
      </w:r>
      <w:r w:rsidR="009430BE">
        <w:t xml:space="preserve"> 12,</w:t>
      </w:r>
      <w:r w:rsidR="00EB112B" w:rsidRPr="009D469E">
        <w:t xml:space="preserve"> 1965 FOMC meeting, New York Fed President Hayes states: “We still face the pressures on prices and labor costs normally arising in an </w:t>
      </w:r>
      <w:r w:rsidR="00EB112B" w:rsidRPr="009D469E">
        <w:rPr>
          <w:i/>
        </w:rPr>
        <w:t>economy operating close to capacity</w:t>
      </w:r>
      <w:r w:rsidR="00EB112B" w:rsidRPr="009D469E">
        <w:t xml:space="preserve">… The exuberant stock market of recent weeks is doubtless one more manifestation of incipient </w:t>
      </w:r>
      <w:r w:rsidR="00EB112B" w:rsidRPr="009D469E">
        <w:rPr>
          <w:i/>
        </w:rPr>
        <w:t>inflationary psychology</w:t>
      </w:r>
      <w:r w:rsidR="00EB112B" w:rsidRPr="009D469E">
        <w:t>” (FOMC October</w:t>
      </w:r>
      <w:r w:rsidR="009430BE">
        <w:t xml:space="preserve"> 12,</w:t>
      </w:r>
      <w:r w:rsidR="00EB112B" w:rsidRPr="009D469E">
        <w:t xml:space="preserve"> 1965,</w:t>
      </w:r>
      <w:r w:rsidR="003E44A4">
        <w:t xml:space="preserve"> </w:t>
      </w:r>
      <w:r w:rsidR="00EB112B" w:rsidRPr="009D469E">
        <w:t>35, emphasis added).</w:t>
      </w:r>
      <w:r w:rsidR="00EB112B">
        <w:t xml:space="preserve"> </w:t>
      </w:r>
      <w:r w:rsidR="009231B8">
        <w:t>Thus</w:t>
      </w:r>
      <w:r w:rsidR="009231B8" w:rsidRPr="009D469E">
        <w:t xml:space="preserve">, in the words of Mervyn King, “practice [was] ahead of theory”—FOMC discussions demonstrated an understanding of some core related concepts, such as inflationary expectations and the natural rate, </w:t>
      </w:r>
      <w:r w:rsidR="009231B8" w:rsidRPr="009D469E">
        <w:rPr>
          <w:i/>
        </w:rPr>
        <w:t>before</w:t>
      </w:r>
      <w:r w:rsidR="009231B8" w:rsidRPr="009D469E">
        <w:t xml:space="preserve"> these terms became a staple of academic literature (King 2005). </w:t>
      </w:r>
    </w:p>
    <w:p w14:paraId="5019A4D7" w14:textId="0BE5E5F2" w:rsidR="0063290B" w:rsidRPr="009D469E" w:rsidRDefault="0063290B" w:rsidP="0063290B">
      <w:pPr>
        <w:rPr>
          <w:color w:val="000000" w:themeColor="text1"/>
        </w:rPr>
      </w:pPr>
      <w:r>
        <w:t>Instead,</w:t>
      </w:r>
      <w:r w:rsidRPr="009D469E">
        <w:t xml:space="preserve"> FOMC members’ concerns about their own credibility</w:t>
      </w:r>
      <w:r w:rsidR="00725F6F">
        <w:t xml:space="preserve"> appear paramount,</w:t>
      </w:r>
      <w:r w:rsidRPr="009D469E">
        <w:t xml:space="preserve"> and </w:t>
      </w:r>
      <w:r w:rsidR="00725F6F" w:rsidRPr="009D469E">
        <w:t xml:space="preserve">the cautionary tale of excessive monetary easing of the 1970’s is cited quite often, acting as an </w:t>
      </w:r>
      <w:r w:rsidR="00725F6F" w:rsidRPr="009D469E">
        <w:lastRenderedPageBreak/>
        <w:t>“anchor” at times.</w:t>
      </w:r>
      <w:r w:rsidR="00725F6F" w:rsidRPr="009D469E">
        <w:rPr>
          <w:rStyle w:val="FootnoteReference"/>
          <w:color w:val="000000" w:themeColor="text1"/>
        </w:rPr>
        <w:footnoteReference w:id="17"/>
      </w:r>
      <w:r w:rsidR="00725F6F" w:rsidRPr="009D469E">
        <w:t xml:space="preserve"> </w:t>
      </w:r>
      <w:r>
        <w:t>For example, a</w:t>
      </w:r>
      <w:r w:rsidRPr="009D469E">
        <w:t>t the May</w:t>
      </w:r>
      <w:r w:rsidR="00E124CC">
        <w:t xml:space="preserve"> 7,</w:t>
      </w:r>
      <w:r w:rsidRPr="009D469E">
        <w:t xml:space="preserve"> 2002 meeting President </w:t>
      </w:r>
      <w:r w:rsidRPr="009D469E">
        <w:rPr>
          <w:rFonts w:eastAsia="Times New Roman"/>
        </w:rPr>
        <w:t>Guynn asks “Is there a risk that by not tightening in such circumstances we would unintentionally convert a relative energy price increase into an across-the-board increase in prices more generally? That is what happened in the 1970s” (</w:t>
      </w:r>
      <w:r w:rsidRPr="009D469E">
        <w:t>FOMC May</w:t>
      </w:r>
      <w:r w:rsidR="00E124CC">
        <w:t xml:space="preserve"> 7,</w:t>
      </w:r>
      <w:r w:rsidRPr="009D469E">
        <w:t xml:space="preserve"> 2002, </w:t>
      </w:r>
      <w:r w:rsidRPr="009D469E">
        <w:rPr>
          <w:rFonts w:eastAsia="Times New Roman"/>
        </w:rPr>
        <w:t xml:space="preserve">41-42). </w:t>
      </w:r>
      <w:r>
        <w:t>Similarly</w:t>
      </w:r>
      <w:r w:rsidRPr="009D469E">
        <w:t xml:space="preserve">, despite low levels of inflation, in March 2005, Chicago President Moscow </w:t>
      </w:r>
      <w:r>
        <w:t>expresses concerns about</w:t>
      </w:r>
      <w:r w:rsidRPr="009D469E">
        <w:t xml:space="preserve"> “a 1970s-type inflationary mentality” (FOMC March</w:t>
      </w:r>
      <w:r w:rsidR="009A25FB">
        <w:t xml:space="preserve"> 22,</w:t>
      </w:r>
      <w:r w:rsidRPr="009D469E">
        <w:t xml:space="preserve"> 2005, 27). In this way, the trauma of the 1970s inflation </w:t>
      </w:r>
      <w:r w:rsidR="00B560D2">
        <w:t xml:space="preserve">may have </w:t>
      </w:r>
      <w:r w:rsidRPr="009D469E">
        <w:t>shaped the Fed’s policies long after inflation was brought down, similarly to the way the legacy of the unemployment of the Great Depression locked in the Fed’s primary focus on maintaining low unemployment for decades, even as inflation rose dangerously in the late 1960s (DeLong 1997).</w:t>
      </w:r>
    </w:p>
    <w:p w14:paraId="4272CEA5" w14:textId="7DDBFB04" w:rsidR="00472B78" w:rsidRPr="009D469E" w:rsidRDefault="00472B78">
      <w:pPr>
        <w:contextualSpacing/>
        <w:rPr>
          <w:color w:val="000000" w:themeColor="text1"/>
        </w:rPr>
      </w:pPr>
    </w:p>
    <w:p w14:paraId="59F6DE4C" w14:textId="072FCF99" w:rsidR="00C532AB" w:rsidRPr="009D469E" w:rsidRDefault="00B169C0" w:rsidP="00EB7BC7">
      <w:pPr>
        <w:pStyle w:val="Heading1"/>
        <w:keepNext/>
        <w:contextualSpacing/>
        <w:rPr>
          <w:szCs w:val="24"/>
        </w:rPr>
      </w:pPr>
      <w:r>
        <w:rPr>
          <w:szCs w:val="24"/>
        </w:rPr>
        <w:t>III</w:t>
      </w:r>
      <w:r w:rsidR="00C532AB" w:rsidRPr="009D469E">
        <w:rPr>
          <w:szCs w:val="24"/>
        </w:rPr>
        <w:t xml:space="preserve">. </w:t>
      </w:r>
      <w:r w:rsidR="00E46288">
        <w:rPr>
          <w:szCs w:val="24"/>
        </w:rPr>
        <w:t>The Relationship between FOMC Discussions and the Federal Funds Rate</w:t>
      </w:r>
    </w:p>
    <w:p w14:paraId="705F46E4" w14:textId="3692E3DA" w:rsidR="00C532AB" w:rsidRPr="009D469E" w:rsidRDefault="00C532AB" w:rsidP="001369FF">
      <w:pPr>
        <w:contextualSpacing/>
      </w:pPr>
      <w:r w:rsidRPr="009D469E">
        <w:t xml:space="preserve">The preceding findings show </w:t>
      </w:r>
      <w:r w:rsidR="00CE7B09" w:rsidRPr="009D469E">
        <w:t>th</w:t>
      </w:r>
      <w:r w:rsidR="00CE7B09">
        <w:t>at in its discussions, the</w:t>
      </w:r>
      <w:r w:rsidR="00CE7B09" w:rsidRPr="009D469E">
        <w:t xml:space="preserve"> </w:t>
      </w:r>
      <w:r w:rsidRPr="009D469E">
        <w:t>FOMC</w:t>
      </w:r>
      <w:r w:rsidR="00CE7B09">
        <w:t xml:space="preserve"> has significantly increased its </w:t>
      </w:r>
      <w:r w:rsidRPr="009D469E">
        <w:t>emphasis on inflation versus</w:t>
      </w:r>
      <w:r w:rsidR="00C073EE">
        <w:t xml:space="preserve"> unemployment</w:t>
      </w:r>
      <w:r w:rsidRPr="009D469E">
        <w:t xml:space="preserve">. We think this finding is important in itself in describing </w:t>
      </w:r>
      <w:r w:rsidR="00D67883">
        <w:t>a</w:t>
      </w:r>
      <w:r w:rsidR="00D67883" w:rsidRPr="009D469E">
        <w:t xml:space="preserve"> </w:t>
      </w:r>
      <w:r w:rsidRPr="009D469E">
        <w:t>dramatic</w:t>
      </w:r>
      <w:r w:rsidR="00D13595">
        <w:t xml:space="preserve"> </w:t>
      </w:r>
      <w:r w:rsidRPr="009D469E">
        <w:t xml:space="preserve">shift </w:t>
      </w:r>
      <w:r w:rsidR="00D67883">
        <w:t>in</w:t>
      </w:r>
      <w:r w:rsidR="00D67883" w:rsidRPr="009D469E">
        <w:t xml:space="preserve"> </w:t>
      </w:r>
      <w:r w:rsidRPr="009D469E">
        <w:t xml:space="preserve">FOMC deliberations. </w:t>
      </w:r>
      <w:r w:rsidR="007D4198">
        <w:t>We now turn to</w:t>
      </w:r>
      <w:r w:rsidRPr="009D469E">
        <w:t xml:space="preserve"> explor</w:t>
      </w:r>
      <w:r w:rsidR="007D4198">
        <w:t>ing</w:t>
      </w:r>
      <w:r w:rsidRPr="009D469E">
        <w:t xml:space="preserve"> whether the FOMC discussions </w:t>
      </w:r>
      <w:r w:rsidR="00980584">
        <w:t>significantly relate to</w:t>
      </w:r>
      <w:r w:rsidR="00980584" w:rsidRPr="009D469E">
        <w:t xml:space="preserve"> </w:t>
      </w:r>
      <w:r w:rsidRPr="009D469E">
        <w:t>the Fed’s main policy output, the federal funds rate.</w:t>
      </w:r>
      <w:r w:rsidR="00852320">
        <w:t xml:space="preserve"> </w:t>
      </w:r>
    </w:p>
    <w:p w14:paraId="360E917F" w14:textId="22DE0030" w:rsidR="00472B78" w:rsidRDefault="00C532AB">
      <w:pPr>
        <w:contextualSpacing/>
      </w:pPr>
      <w:r w:rsidRPr="009D469E">
        <w:t xml:space="preserve">To do so, </w:t>
      </w:r>
      <w:r w:rsidR="00F42D4A">
        <w:t xml:space="preserve">in Table 2, </w:t>
      </w:r>
      <w:r w:rsidRPr="009D469E">
        <w:t xml:space="preserve">we estimate a </w:t>
      </w:r>
      <w:r w:rsidR="00472B78">
        <w:t xml:space="preserve">modified version of the </w:t>
      </w:r>
      <w:r w:rsidRPr="009D469E">
        <w:t>Taylor Rule for the federal funds rate between FOMC meetings (</w:t>
      </w:r>
      <w:r w:rsidRPr="009D469E">
        <w:rPr>
          <w:i/>
        </w:rPr>
        <w:t>FFR</w:t>
      </w:r>
      <w:r w:rsidRPr="009D469E">
        <w:rPr>
          <w:i/>
          <w:vertAlign w:val="subscript"/>
        </w:rPr>
        <w:t>t</w:t>
      </w:r>
      <w:r w:rsidR="004746D1">
        <w:t>)</w:t>
      </w:r>
      <w:r w:rsidR="004746D1">
        <w:rPr>
          <w:rStyle w:val="FootnoteReference"/>
        </w:rPr>
        <w:footnoteReference w:id="18"/>
      </w:r>
      <w:r w:rsidR="001B4C37" w:rsidRPr="001B4C37">
        <w:rPr>
          <w:rStyle w:val="FootnoteReference"/>
          <w:color w:val="000000" w:themeColor="text1"/>
        </w:rPr>
        <w:t xml:space="preserve"> </w:t>
      </w:r>
      <w:r w:rsidRPr="009D469E">
        <w:t>and assess whether the FOMC’s “talk</w:t>
      </w:r>
      <w:r w:rsidR="002F68C8">
        <w:t>,</w:t>
      </w:r>
      <w:r w:rsidRPr="009D469E">
        <w:t xml:space="preserve">” INFL, </w:t>
      </w:r>
      <w:r w:rsidR="009D00E2">
        <w:t xml:space="preserve">is </w:t>
      </w:r>
      <w:r w:rsidR="002057B6">
        <w:t>significantly related to</w:t>
      </w:r>
      <w:r w:rsidR="002B275D">
        <w:t xml:space="preserve"> </w:t>
      </w:r>
      <w:r w:rsidRPr="009D469E">
        <w:rPr>
          <w:i/>
        </w:rPr>
        <w:t>FFR</w:t>
      </w:r>
      <w:r w:rsidRPr="009D469E">
        <w:rPr>
          <w:i/>
          <w:vertAlign w:val="subscript"/>
        </w:rPr>
        <w:t>t</w:t>
      </w:r>
      <w:r w:rsidRPr="009D469E">
        <w:t xml:space="preserve">. </w:t>
      </w:r>
    </w:p>
    <w:p w14:paraId="03E4AB9C" w14:textId="17C64A87" w:rsidR="00472B78" w:rsidRPr="009D469E" w:rsidRDefault="00472B78" w:rsidP="00472B78">
      <w:r>
        <w:lastRenderedPageBreak/>
        <w:t>Taylor (1993) first articulated his now well-know</w:t>
      </w:r>
      <w:r w:rsidR="009D00E2">
        <w:t>n</w:t>
      </w:r>
      <w:r>
        <w:t xml:space="preserve"> rule as:</w:t>
      </w:r>
    </w:p>
    <w:p w14:paraId="76982F9F" w14:textId="7A1FEF15" w:rsidR="00472B78" w:rsidRPr="009D469E" w:rsidRDefault="005140FA" w:rsidP="00472B78">
      <w:pPr>
        <w:contextualSpacing/>
        <w:jc w:val="right"/>
      </w:pPr>
      <m:oMath>
        <m:sSub>
          <m:sSubPr>
            <m:ctrlPr>
              <w:rPr>
                <w:rFonts w:ascii="Cambria Math" w:hAnsi="Cambria Math"/>
                <w:i/>
                <w:color w:val="000000" w:themeColor="text1"/>
              </w:rPr>
            </m:ctrlPr>
          </m:sSubPr>
          <m:e>
            <m:r>
              <w:rPr>
                <w:rFonts w:ascii="Cambria Math" w:hAnsi="Cambria Math"/>
                <w:color w:val="000000" w:themeColor="text1"/>
              </w:rPr>
              <m:t>i</m:t>
            </m:r>
          </m:e>
          <m:sub>
            <m:r>
              <w:rPr>
                <w:rFonts w:ascii="Cambria Math" w:hAnsi="Cambria Math"/>
                <w:color w:val="000000" w:themeColor="text1"/>
              </w:rPr>
              <m:t>t</m:t>
            </m:r>
          </m:sub>
        </m:sSub>
        <m:r>
          <w:rPr>
            <w:rFonts w:ascii="Cambria Math" w:hAnsi="Cambria Math"/>
            <w:color w:val="000000" w:themeColor="text1"/>
          </w:rPr>
          <m:t xml:space="preserve">= </m:t>
        </m:r>
        <m:sSup>
          <m:sSupPr>
            <m:ctrlPr>
              <w:rPr>
                <w:rFonts w:ascii="Cambria Math" w:hAnsi="Cambria Math"/>
                <w:i/>
                <w:color w:val="000000" w:themeColor="text1"/>
              </w:rPr>
            </m:ctrlPr>
          </m:sSupPr>
          <m:e>
            <m:r>
              <w:rPr>
                <w:rFonts w:ascii="Cambria Math" w:hAnsi="Cambria Math"/>
                <w:color w:val="000000" w:themeColor="text1"/>
              </w:rPr>
              <m:t>i</m:t>
            </m:r>
          </m:e>
          <m:sup>
            <m:r>
              <w:rPr>
                <w:rFonts w:ascii="Cambria Math" w:hAnsi="Cambria Math"/>
                <w:color w:val="000000" w:themeColor="text1"/>
              </w:rPr>
              <m:t>*</m:t>
            </m:r>
          </m:sup>
        </m:sSup>
        <m:r>
          <w:rPr>
            <w:rFonts w:ascii="Cambria Math" w:hAnsi="Cambria Math"/>
            <w:color w:val="000000" w:themeColor="text1"/>
          </w:rPr>
          <m:t>+ a</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π</m:t>
                </m:r>
              </m:e>
              <m:sub>
                <m:r>
                  <w:rPr>
                    <w:rFonts w:ascii="Cambria Math" w:hAnsi="Cambria Math"/>
                    <w:color w:val="000000" w:themeColor="text1"/>
                  </w:rPr>
                  <m:t>t</m:t>
                </m:r>
              </m:sub>
            </m:sSub>
            <m:r>
              <w:rPr>
                <w:rFonts w:ascii="Cambria Math" w:hAnsi="Cambria Math"/>
                <w:color w:val="000000" w:themeColor="text1"/>
              </w:rPr>
              <m:t>-2</m:t>
            </m:r>
          </m:e>
        </m:d>
        <m:r>
          <w:rPr>
            <w:rFonts w:ascii="Cambria Math" w:hAnsi="Cambria Math"/>
            <w:color w:val="000000" w:themeColor="text1"/>
          </w:rPr>
          <m:t>+b</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t</m:t>
            </m:r>
          </m:sub>
        </m:sSub>
      </m:oMath>
      <w:r w:rsidR="00472B78" w:rsidRPr="009D469E">
        <w:tab/>
      </w:r>
      <w:r w:rsidR="00472B78" w:rsidRPr="009D469E">
        <w:tab/>
      </w:r>
      <w:r w:rsidR="00472B78" w:rsidRPr="009D469E">
        <w:tab/>
      </w:r>
      <w:r w:rsidR="00472B78" w:rsidRPr="009D469E">
        <w:tab/>
        <w:t>(</w:t>
      </w:r>
      <w:r w:rsidR="00B169C0">
        <w:rPr>
          <w:noProof/>
        </w:rPr>
        <w:t>2</w:t>
      </w:r>
      <w:r w:rsidR="00472B78" w:rsidRPr="009D469E">
        <w:t>)</w:t>
      </w:r>
    </w:p>
    <w:p w14:paraId="4767F08E" w14:textId="2D57F38B" w:rsidR="00472B78" w:rsidRDefault="00472B78" w:rsidP="00472B78">
      <w:pPr>
        <w:ind w:firstLine="0"/>
        <w:contextualSpacing/>
      </w:pPr>
      <w:r w:rsidRPr="009D469E">
        <w:t xml:space="preserve">where </w:t>
      </w:r>
      <w:r w:rsidRPr="009D469E">
        <w:rPr>
          <w:i/>
        </w:rPr>
        <w:t>i</w:t>
      </w:r>
      <w:r w:rsidRPr="009D469E">
        <w:rPr>
          <w:i/>
          <w:vertAlign w:val="subscript"/>
        </w:rPr>
        <w:t>t</w:t>
      </w:r>
      <w:r w:rsidRPr="009D469E">
        <w:t xml:space="preserve"> is the target nominal federal funds rate at time</w:t>
      </w:r>
      <w:r w:rsidRPr="009D469E">
        <w:rPr>
          <w:i/>
        </w:rPr>
        <w:t xml:space="preserve"> t</w:t>
      </w:r>
      <w:r w:rsidRPr="009D469E">
        <w:t xml:space="preserve">, </w:t>
      </w:r>
      <w:r w:rsidRPr="009D469E">
        <w:rPr>
          <w:i/>
        </w:rPr>
        <w:t>i*</w:t>
      </w:r>
      <w:r w:rsidRPr="009D469E">
        <w:t xml:space="preserve"> is the long-term equilibrium nominal federal funds rate</w:t>
      </w:r>
      <w:r w:rsidR="00FE0928">
        <w:rPr>
          <w:rStyle w:val="FootnoteReference"/>
        </w:rPr>
        <w:footnoteReference w:id="19"/>
      </w:r>
      <w:r w:rsidRPr="009D469E">
        <w:t xml:space="preserve">, 2% is the target inflation rate, </w:t>
      </w:r>
      <w:r w:rsidRPr="009D469E">
        <w:rPr>
          <w:i/>
        </w:rPr>
        <w:sym w:font="Symbol" w:char="F070"/>
      </w:r>
      <w:r w:rsidRPr="009D469E">
        <w:t xml:space="preserve"> is the actual inflation rate</w:t>
      </w:r>
      <w:r w:rsidR="004E4DA0">
        <w:t xml:space="preserve"> at time </w:t>
      </w:r>
      <w:r w:rsidR="004E4DA0" w:rsidRPr="00BC06E6">
        <w:rPr>
          <w:i/>
        </w:rPr>
        <w:t>t</w:t>
      </w:r>
      <w:r w:rsidRPr="009D469E">
        <w:t xml:space="preserve">, </w:t>
      </w:r>
      <w:r w:rsidRPr="009D469E">
        <w:rPr>
          <w:i/>
        </w:rPr>
        <w:t>y</w:t>
      </w:r>
      <w:r w:rsidRPr="009D469E">
        <w:t xml:space="preserve"> is the output (GDP) gap</w:t>
      </w:r>
      <w:r w:rsidR="004E4DA0">
        <w:t xml:space="preserve"> at time </w:t>
      </w:r>
      <w:r w:rsidR="004E4DA0">
        <w:rPr>
          <w:i/>
        </w:rPr>
        <w:t>t</w:t>
      </w:r>
      <w:r w:rsidRPr="009D469E">
        <w:t>. “</w:t>
      </w:r>
      <w:r w:rsidRPr="009D469E">
        <w:rPr>
          <w:i/>
        </w:rPr>
        <w:t>a</w:t>
      </w:r>
      <w:r w:rsidRPr="009D469E">
        <w:t>” represents the degree to which the Fed raises the nominal interest rate when inflation is above its target and corresponds to how much the Fed cares about staying close to its inflation target</w:t>
      </w:r>
      <w:r>
        <w:t>;</w:t>
      </w:r>
      <w:r w:rsidRPr="009D469E">
        <w:t xml:space="preserve"> “</w:t>
      </w:r>
      <w:r w:rsidRPr="009D469E">
        <w:rPr>
          <w:i/>
        </w:rPr>
        <w:t>b</w:t>
      </w:r>
      <w:r w:rsidRPr="009D469E">
        <w:t xml:space="preserve">” is the corresponding term for the output gap. Taylor originally assumed both </w:t>
      </w:r>
      <w:r w:rsidR="00747C58">
        <w:t xml:space="preserve">of these </w:t>
      </w:r>
      <w:r w:rsidRPr="009D469E">
        <w:t xml:space="preserve">coefficients were .5. </w:t>
      </w:r>
      <w:r>
        <w:t xml:space="preserve">As </w:t>
      </w:r>
      <w:r w:rsidRPr="009D469E">
        <w:t xml:space="preserve">Bernanke (2015, emphasis added) </w:t>
      </w:r>
      <w:r>
        <w:t xml:space="preserve">notes: </w:t>
      </w:r>
      <w:r w:rsidRPr="009D469E">
        <w:t xml:space="preserve">“In principle, the relative weights on the output gap and inflation [i.e. </w:t>
      </w:r>
      <w:r w:rsidRPr="009D469E">
        <w:rPr>
          <w:i/>
        </w:rPr>
        <w:t>a</w:t>
      </w:r>
      <w:r w:rsidRPr="009D469E">
        <w:t xml:space="preserve">, </w:t>
      </w:r>
      <w:r w:rsidRPr="009D469E">
        <w:rPr>
          <w:i/>
        </w:rPr>
        <w:t>b</w:t>
      </w:r>
      <w:r w:rsidRPr="009D469E">
        <w:t xml:space="preserve">] should depend on, among other things, the extent to which policymakers are willing </w:t>
      </w:r>
      <w:r w:rsidRPr="009D469E">
        <w:rPr>
          <w:i/>
        </w:rPr>
        <w:t>to accept greater variability in inflation in exchange for greater stability in output</w:t>
      </w:r>
      <w:r w:rsidRPr="009D469E">
        <w:t xml:space="preserve">.” </w:t>
      </w:r>
    </w:p>
    <w:p w14:paraId="4B682B39" w14:textId="46B456CE" w:rsidR="00C532AB" w:rsidRPr="009D469E" w:rsidRDefault="00C532AB" w:rsidP="001369FF">
      <w:pPr>
        <w:contextualSpacing/>
      </w:pPr>
      <w:r w:rsidRPr="009D469E">
        <w:t>Equation (</w:t>
      </w:r>
      <w:r w:rsidR="00B169C0">
        <w:t>2</w:t>
      </w:r>
      <w:r w:rsidRPr="009D469E">
        <w:t>) can be reformulated as:</w:t>
      </w:r>
    </w:p>
    <w:p w14:paraId="764F106F" w14:textId="16728F3D" w:rsidR="00C532AB" w:rsidRPr="009D469E" w:rsidRDefault="005140FA" w:rsidP="001369FF">
      <w:pPr>
        <w:contextualSpacing/>
        <w:jc w:val="right"/>
      </w:pPr>
      <m:oMath>
        <m:sSub>
          <m:sSubPr>
            <m:ctrlPr>
              <w:rPr>
                <w:rFonts w:ascii="Cambria Math" w:hAnsi="Cambria Math"/>
              </w:rPr>
            </m:ctrlPr>
          </m:sSubPr>
          <m:e>
            <m:r>
              <m:rPr>
                <m:sty m:val="p"/>
              </m:rPr>
              <w:rPr>
                <w:rFonts w:ascii="Cambria Math" w:hAnsi="Cambria Math"/>
              </w:rPr>
              <m:t xml:space="preserve"> </m:t>
            </m:r>
            <m:r>
              <w:rPr>
                <w:rFonts w:ascii="Cambria Math" w:hAnsi="Cambria Math"/>
              </w:rPr>
              <m:t>i</m:t>
            </m:r>
          </m:e>
          <m:sub>
            <m:r>
              <w:rPr>
                <w:rFonts w:ascii="Cambria Math" w:hAnsi="Cambria Math"/>
              </w:rPr>
              <m:t>t</m:t>
            </m:r>
          </m:sub>
        </m:sSub>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m:t>
            </m:r>
            <m:r>
              <w:rPr>
                <w:rFonts w:ascii="Cambria Math" w:hAnsi="Cambria Math"/>
              </w:rPr>
              <m:t>i</m:t>
            </m:r>
          </m:e>
          <m:sup>
            <m:r>
              <m:rPr>
                <m:sty m:val="p"/>
              </m:rPr>
              <w:rPr>
                <w:rFonts w:ascii="Cambria Math" w:hAnsi="Cambria Math"/>
              </w:rPr>
              <m:t>*</m:t>
            </m:r>
          </m:sup>
        </m:sSup>
        <m:r>
          <m:rPr>
            <m:sty m:val="p"/>
          </m:rPr>
          <w:rPr>
            <w:rFonts w:ascii="Cambria Math" w:hAnsi="Cambria Math"/>
          </w:rPr>
          <m:t>-</m:t>
        </m:r>
        <m:r>
          <w:rPr>
            <w:rFonts w:ascii="Cambria Math" w:hAnsi="Cambria Math"/>
          </w:rPr>
          <m:t>a</m:t>
        </m:r>
        <m:sSup>
          <m:sSupPr>
            <m:ctrlPr>
              <w:rPr>
                <w:rFonts w:ascii="Cambria Math" w:hAnsi="Cambria Math"/>
              </w:rPr>
            </m:ctrlPr>
          </m:sSupPr>
          <m:e>
            <m:r>
              <w:rPr>
                <w:rFonts w:ascii="Cambria Math" w:hAnsi="Cambria Math"/>
              </w:rPr>
              <m:t>π</m:t>
            </m:r>
          </m:e>
          <m:sup>
            <m:r>
              <m:rPr>
                <m:sty m:val="p"/>
              </m:rPr>
              <w:rPr>
                <w:rFonts w:ascii="Cambria Math" w:hAnsi="Cambria Math"/>
              </w:rPr>
              <m:t>*</m:t>
            </m:r>
          </m:sup>
        </m:sSup>
        <m:r>
          <m:rPr>
            <m:sty m:val="p"/>
          </m:rPr>
          <w:rPr>
            <w:rFonts w:ascii="Cambria Math" w:hAnsi="Cambria Math"/>
          </w:rPr>
          <m:t>+</m:t>
        </m:r>
        <m:r>
          <w:rPr>
            <w:rFonts w:ascii="Cambria Math" w:hAnsi="Cambria Math"/>
          </w:rPr>
          <m:t>b</m:t>
        </m:r>
        <m:sSub>
          <m:sSubPr>
            <m:ctrlPr>
              <w:rPr>
                <w:rFonts w:ascii="Cambria Math" w:hAnsi="Cambria Math"/>
              </w:rPr>
            </m:ctrlPr>
          </m:sSubPr>
          <m:e>
            <m:r>
              <w:rPr>
                <w:rFonts w:ascii="Cambria Math" w:hAnsi="Cambria Math"/>
              </w:rPr>
              <m:t>u</m:t>
            </m:r>
          </m:e>
          <m:sub>
            <m:r>
              <w:rPr>
                <w:rFonts w:ascii="Cambria Math" w:hAnsi="Cambria Math"/>
              </w:rPr>
              <m:t>n</m:t>
            </m:r>
          </m:sub>
        </m:sSub>
        <m:r>
          <m:rPr>
            <m:sty m:val="p"/>
          </m:rPr>
          <w:rPr>
            <w:rFonts w:ascii="Cambria Math" w:hAnsi="Cambria Math"/>
          </w:rPr>
          <m:t xml:space="preserve">)+ </m:t>
        </m:r>
        <m:r>
          <w:rPr>
            <w:rFonts w:ascii="Cambria Math" w:hAnsi="Cambria Math"/>
          </w:rPr>
          <m:t>a</m:t>
        </m:r>
        <m:sSub>
          <m:sSubPr>
            <m:ctrlPr>
              <w:rPr>
                <w:rFonts w:ascii="Cambria Math" w:hAnsi="Cambria Math"/>
              </w:rPr>
            </m:ctrlPr>
          </m:sSubPr>
          <m:e>
            <m:r>
              <w:rPr>
                <w:rFonts w:ascii="Cambria Math" w:hAnsi="Cambria Math"/>
              </w:rPr>
              <m:t>π</m:t>
            </m:r>
          </m:e>
          <m:sub>
            <m:r>
              <w:rPr>
                <w:rFonts w:ascii="Cambria Math" w:hAnsi="Cambria Math"/>
              </w:rPr>
              <m:t>t</m:t>
            </m:r>
          </m:sub>
        </m:sSub>
        <m:r>
          <m:rPr>
            <m:sty m:val="p"/>
          </m:rPr>
          <w:rPr>
            <w:rFonts w:ascii="Cambria Math" w:hAnsi="Cambria Math"/>
          </w:rPr>
          <m:t>-</m:t>
        </m:r>
        <m:r>
          <w:rPr>
            <w:rFonts w:ascii="Cambria Math" w:hAnsi="Cambria Math"/>
          </w:rPr>
          <m:t>b</m:t>
        </m:r>
        <m:sSub>
          <m:sSubPr>
            <m:ctrlPr>
              <w:rPr>
                <w:rFonts w:ascii="Cambria Math" w:hAnsi="Cambria Math"/>
              </w:rPr>
            </m:ctrlPr>
          </m:sSubPr>
          <m:e>
            <m:r>
              <w:rPr>
                <w:rFonts w:ascii="Cambria Math" w:hAnsi="Cambria Math"/>
              </w:rPr>
              <m:t>u</m:t>
            </m:r>
          </m:e>
          <m:sub>
            <m:r>
              <w:rPr>
                <w:rFonts w:ascii="Cambria Math" w:hAnsi="Cambria Math"/>
              </w:rPr>
              <m:t>t</m:t>
            </m:r>
          </m:sub>
        </m:sSub>
      </m:oMath>
      <w:r w:rsidR="00C532AB" w:rsidRPr="009D469E">
        <w:tab/>
      </w:r>
      <w:r w:rsidR="00C532AB" w:rsidRPr="009D469E">
        <w:tab/>
      </w:r>
      <w:r w:rsidR="00C532AB" w:rsidRPr="009D469E">
        <w:tab/>
        <w:t>(</w:t>
      </w:r>
      <w:r w:rsidR="00B169C0">
        <w:rPr>
          <w:noProof/>
        </w:rPr>
        <w:t>3</w:t>
      </w:r>
      <w:r w:rsidR="00C532AB" w:rsidRPr="009D469E">
        <w:t>)</w:t>
      </w:r>
    </w:p>
    <w:p w14:paraId="0BB24F5D" w14:textId="2226F350" w:rsidR="00C532AB" w:rsidRPr="009D469E" w:rsidRDefault="00C532AB" w:rsidP="001369FF">
      <w:pPr>
        <w:ind w:firstLine="0"/>
        <w:contextualSpacing/>
      </w:pPr>
      <w:r w:rsidRPr="009D469E">
        <w:t>where</w:t>
      </w:r>
      <w:r w:rsidR="00FE0928">
        <w:t xml:space="preserve"> </w:t>
      </w:r>
      <m:oMath>
        <m:r>
          <w:rPr>
            <w:rFonts w:ascii="Cambria Math" w:hAnsi="Cambria Math"/>
          </w:rPr>
          <m:t xml:space="preserve"> </m:t>
        </m:r>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-a</m:t>
        </m:r>
        <m:sSup>
          <m:sSupPr>
            <m:ctrlPr>
              <w:rPr>
                <w:rFonts w:ascii="Cambria Math" w:hAnsi="Cambria Math"/>
                <w:i/>
              </w:rPr>
            </m:ctrlPr>
          </m:sSupPr>
          <m:e>
            <m:r>
              <w:rPr>
                <w:rFonts w:ascii="Cambria Math" w:hAnsi="Cambria Math"/>
              </w:rPr>
              <m:t>π</m:t>
            </m:r>
          </m:e>
          <m:sup>
            <m:r>
              <w:rPr>
                <w:rFonts w:ascii="Cambria Math" w:hAnsi="Cambria Math"/>
              </w:rPr>
              <m:t>*</m:t>
            </m:r>
          </m:sup>
        </m:sSup>
        <m:r>
          <w:rPr>
            <w:rFonts w:ascii="Cambria Math" w:hAnsi="Cambria Math"/>
          </w:rPr>
          <m:t>+b</m:t>
        </m:r>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m:t>
        </m:r>
      </m:oMath>
      <w:r w:rsidRPr="009D469E">
        <w:t xml:space="preserve"> is a constant for any given combination of the Fed’s long run nominal interest rate target (</w:t>
      </w:r>
      <w:r w:rsidRPr="009D469E">
        <w:rPr>
          <w:i/>
        </w:rPr>
        <w:t>i*</w:t>
      </w:r>
      <w:r w:rsidRPr="009D469E">
        <w:t>), its inflation target (</w:t>
      </w:r>
      <w:r w:rsidRPr="009D469E">
        <w:rPr>
          <w:i/>
        </w:rPr>
        <w:sym w:font="Symbol" w:char="F070"/>
      </w:r>
      <w:r w:rsidRPr="009D469E">
        <w:rPr>
          <w:i/>
        </w:rPr>
        <w:t>*</w:t>
      </w:r>
      <w:r w:rsidRPr="009D469E">
        <w:t xml:space="preserve">), and </w:t>
      </w:r>
      <w:r w:rsidRPr="009D469E">
        <w:rPr>
          <w:i/>
        </w:rPr>
        <w:t>u</w:t>
      </w:r>
      <w:r w:rsidRPr="009D469E">
        <w:rPr>
          <w:i/>
          <w:vertAlign w:val="subscript"/>
        </w:rPr>
        <w:t>n</w:t>
      </w:r>
      <w:r w:rsidRPr="009D469E">
        <w:t>.</w:t>
      </w:r>
      <w:r w:rsidR="00F42D4A">
        <w:t xml:space="preserve"> </w:t>
      </w:r>
      <w:r w:rsidRPr="009D469E">
        <w:t>Thus, the general form our specification in Table 2 below is as follows</w:t>
      </w:r>
      <w:r w:rsidRPr="009D469E">
        <w:rPr>
          <w:color w:val="000000" w:themeColor="text1"/>
        </w:rPr>
        <w:t>:</w:t>
      </w:r>
      <w:r w:rsidRPr="009D469E">
        <w:rPr>
          <w:rStyle w:val="FootnoteReference"/>
          <w:color w:val="000000" w:themeColor="text1"/>
        </w:rPr>
        <w:t xml:space="preserve"> </w:t>
      </w:r>
      <w:r w:rsidRPr="009D469E">
        <w:rPr>
          <w:rStyle w:val="FootnoteReference"/>
          <w:color w:val="000000" w:themeColor="text1"/>
        </w:rPr>
        <w:footnoteReference w:id="20"/>
      </w:r>
    </w:p>
    <w:p w14:paraId="487B46A8" w14:textId="4B511968" w:rsidR="00156BD5" w:rsidRPr="009D469E" w:rsidRDefault="00C532AB">
      <w:pPr>
        <w:contextualSpacing/>
        <w:jc w:val="right"/>
        <w:rPr>
          <w:color w:val="000000" w:themeColor="text1"/>
        </w:rPr>
      </w:pPr>
      <w:r w:rsidRPr="009D469E">
        <w:rPr>
          <w:i/>
          <w:color w:val="000000" w:themeColor="text1"/>
        </w:rPr>
        <w:t>FFR</w:t>
      </w:r>
      <w:r w:rsidRPr="009D469E">
        <w:rPr>
          <w:i/>
          <w:color w:val="000000" w:themeColor="text1"/>
          <w:vertAlign w:val="subscript"/>
        </w:rPr>
        <w:t>t</w:t>
      </w:r>
      <w:r w:rsidRPr="009D469E">
        <w:rPr>
          <w:color w:val="000000" w:themeColor="text1"/>
        </w:rPr>
        <w:t xml:space="preserve"> </w:t>
      </w:r>
      <w:r w:rsidRPr="009D469E">
        <w:t xml:space="preserve">= </w:t>
      </w:r>
      <w:r w:rsidR="00685306">
        <w:sym w:font="Symbol" w:char="F061"/>
      </w:r>
      <w:r w:rsidR="00685306">
        <w:rPr>
          <w:vertAlign w:val="subscript"/>
        </w:rPr>
        <w:t xml:space="preserve">0 </w:t>
      </w:r>
      <w:r w:rsidR="00685306">
        <w:t xml:space="preserve">+ </w:t>
      </w:r>
      <w:r w:rsidRPr="009D469E">
        <w:sym w:font="Symbol" w:char="F061"/>
      </w:r>
      <w:r w:rsidRPr="009D469E">
        <w:rPr>
          <w:vertAlign w:val="subscript"/>
        </w:rPr>
        <w:t>1</w:t>
      </w:r>
      <w:r w:rsidRPr="009D469E">
        <w:t>Annualized Growth Rate of CPI</w:t>
      </w:r>
      <w:r w:rsidR="00AE2090">
        <w:rPr>
          <w:i/>
          <w:vertAlign w:val="subscript"/>
        </w:rPr>
        <w:t>t</w:t>
      </w:r>
      <w:r w:rsidRPr="009D469E">
        <w:t xml:space="preserve"> + </w:t>
      </w:r>
      <w:r w:rsidRPr="009D469E">
        <w:sym w:font="Symbol" w:char="F061"/>
      </w:r>
      <w:r w:rsidRPr="009D469E">
        <w:rPr>
          <w:vertAlign w:val="subscript"/>
        </w:rPr>
        <w:t>2</w:t>
      </w:r>
      <w:r w:rsidRPr="009D469E">
        <w:t>Civilian</w:t>
      </w:r>
      <w:r w:rsidRPr="009D469E">
        <w:rPr>
          <w:color w:val="000000" w:themeColor="text1"/>
        </w:rPr>
        <w:t xml:space="preserve"> </w:t>
      </w:r>
      <w:r w:rsidRPr="009D469E">
        <w:t>Unemployment Rate</w:t>
      </w:r>
      <w:r w:rsidR="00AE2090" w:rsidRPr="00B71927">
        <w:rPr>
          <w:i/>
          <w:vertAlign w:val="subscript"/>
        </w:rPr>
        <w:t>t</w:t>
      </w:r>
      <w:r w:rsidRPr="00B71927">
        <w:rPr>
          <w:vertAlign w:val="subscript"/>
        </w:rPr>
        <w:t xml:space="preserve"> </w:t>
      </w:r>
      <w:r w:rsidRPr="009D469E">
        <w:t xml:space="preserve">+ </w:t>
      </w:r>
      <w:r w:rsidRPr="009D469E">
        <w:sym w:font="Symbol" w:char="F061"/>
      </w:r>
      <w:r w:rsidRPr="009D469E">
        <w:rPr>
          <w:vertAlign w:val="subscript"/>
        </w:rPr>
        <w:t>3</w:t>
      </w:r>
      <w:r w:rsidRPr="009D469E">
        <w:t>INFL</w:t>
      </w:r>
      <w:r w:rsidR="00AE2090" w:rsidRPr="00B71927">
        <w:rPr>
          <w:i/>
          <w:vertAlign w:val="subscript"/>
        </w:rPr>
        <w:t>t</w:t>
      </w:r>
      <w:r w:rsidR="00685306">
        <w:rPr>
          <w:i/>
          <w:vertAlign w:val="subscript"/>
        </w:rPr>
        <w:t xml:space="preserve"> </w:t>
      </w:r>
      <w:r w:rsidRPr="009D469E">
        <w:t>+</w:t>
      </w:r>
      <w:r w:rsidR="00685306">
        <w:t xml:space="preserve"> </w:t>
      </w:r>
      <w:r w:rsidRPr="009D469E">
        <w:t>Other Regressors</w:t>
      </w:r>
      <w:r w:rsidR="00920BB0">
        <w:t xml:space="preserve"> + </w:t>
      </w:r>
      <w:r w:rsidR="00920BB0">
        <w:sym w:font="Symbol" w:char="F065"/>
      </w:r>
      <w:r w:rsidR="00685306" w:rsidRPr="00B71927">
        <w:rPr>
          <w:i/>
          <w:vertAlign w:val="subscript"/>
        </w:rPr>
        <w:t>t</w:t>
      </w:r>
      <w:r w:rsidRPr="009D469E">
        <w:tab/>
      </w:r>
      <w:r w:rsidRPr="009D469E">
        <w:tab/>
      </w:r>
      <w:r w:rsidRPr="009D469E">
        <w:tab/>
      </w:r>
      <w:r w:rsidRPr="009D469E">
        <w:tab/>
      </w:r>
      <w:r w:rsidRPr="009D469E">
        <w:tab/>
      </w:r>
      <w:r w:rsidRPr="009D469E">
        <w:tab/>
        <w:t>(</w:t>
      </w:r>
      <w:r w:rsidR="00B169C0">
        <w:t>4</w:t>
      </w:r>
      <w:r w:rsidRPr="009D469E">
        <w:rPr>
          <w:color w:val="000000" w:themeColor="text1"/>
        </w:rPr>
        <w:t>)</w:t>
      </w:r>
    </w:p>
    <w:p w14:paraId="26E1A373" w14:textId="77777777" w:rsidR="00191C23" w:rsidRDefault="00191C23" w:rsidP="001369FF">
      <w:pPr>
        <w:ind w:firstLine="0"/>
        <w:contextualSpacing/>
        <w:jc w:val="center"/>
      </w:pPr>
    </w:p>
    <w:p w14:paraId="278D0EAA" w14:textId="697855AA" w:rsidR="00156BD5" w:rsidRDefault="00156BD5" w:rsidP="001369FF">
      <w:pPr>
        <w:ind w:firstLine="0"/>
        <w:contextualSpacing/>
        <w:jc w:val="center"/>
      </w:pPr>
      <w:r>
        <w:t>[Table 2 here]</w:t>
      </w:r>
    </w:p>
    <w:p w14:paraId="7E769F5C" w14:textId="634151FE" w:rsidR="008E5088" w:rsidRPr="00233BEE" w:rsidRDefault="00C532AB" w:rsidP="001369FF">
      <w:pPr>
        <w:ind w:firstLine="0"/>
        <w:contextualSpacing/>
      </w:pPr>
      <w:r w:rsidRPr="009D469E">
        <w:lastRenderedPageBreak/>
        <w:t xml:space="preserve">Column (1) of Table 2 provides a first pass estimation of </w:t>
      </w:r>
      <w:r w:rsidR="00B3261B">
        <w:t>Equation (</w:t>
      </w:r>
      <w:r w:rsidR="00B169C0">
        <w:t>4</w:t>
      </w:r>
      <w:r w:rsidR="00B3261B">
        <w:t>)</w:t>
      </w:r>
      <w:r w:rsidR="00F42D4A">
        <w:t xml:space="preserve"> through OLS</w:t>
      </w:r>
      <w:r w:rsidRPr="009D469E">
        <w:t xml:space="preserve">. This estimation displays the correct signs for CPI and unemployment variables (higher inflation [unemployment] levels put an upward [downward] pressure on </w:t>
      </w:r>
      <w:r w:rsidRPr="009D469E">
        <w:rPr>
          <w:i/>
        </w:rPr>
        <w:t>FFR</w:t>
      </w:r>
      <w:r w:rsidRPr="009D469E">
        <w:rPr>
          <w:i/>
          <w:vertAlign w:val="subscript"/>
        </w:rPr>
        <w:t>t</w:t>
      </w:r>
      <w:r w:rsidRPr="009D469E">
        <w:t xml:space="preserve">). </w:t>
      </w:r>
      <w:r w:rsidR="00233BEE">
        <w:t xml:space="preserve">The magnitude of the CPI coefficient is, however, less than 1, a subject we will return to at the end of this section. </w:t>
      </w:r>
      <w:r w:rsidRPr="009D469E">
        <w:t>Importantly</w:t>
      </w:r>
      <w:r w:rsidR="00B950AE">
        <w:t xml:space="preserve">, </w:t>
      </w:r>
      <w:r w:rsidRPr="009D469E">
        <w:rPr>
          <w:i/>
        </w:rPr>
        <w:t>INFL</w:t>
      </w:r>
      <w:r w:rsidRPr="009D469E">
        <w:t xml:space="preserve"> </w:t>
      </w:r>
      <w:r w:rsidR="00B950AE">
        <w:t xml:space="preserve">is </w:t>
      </w:r>
      <w:r w:rsidRPr="009D469E">
        <w:t xml:space="preserve">significantly and positively </w:t>
      </w:r>
      <w:r w:rsidR="00B950AE">
        <w:t>related to</w:t>
      </w:r>
      <w:r w:rsidR="00B950AE" w:rsidRPr="009D469E">
        <w:t xml:space="preserve"> </w:t>
      </w:r>
      <w:r w:rsidRPr="009D469E">
        <w:rPr>
          <w:i/>
        </w:rPr>
        <w:t>FFR</w:t>
      </w:r>
      <w:r w:rsidRPr="009D469E">
        <w:rPr>
          <w:i/>
          <w:vertAlign w:val="subscript"/>
        </w:rPr>
        <w:t>t</w:t>
      </w:r>
      <w:r w:rsidR="00547828">
        <w:t xml:space="preserve">. </w:t>
      </w:r>
      <w:r w:rsidR="00233BEE" w:rsidRPr="00B71927">
        <w:t xml:space="preserve">Of </w:t>
      </w:r>
      <w:r w:rsidR="007D47B3">
        <w:t>equal importance</w:t>
      </w:r>
      <w:r w:rsidR="00233BEE" w:rsidRPr="00B71927">
        <w:t xml:space="preserve"> is that</w:t>
      </w:r>
      <w:r w:rsidR="00233BEE">
        <w:t xml:space="preserve"> </w:t>
      </w:r>
      <w:r w:rsidR="00233BEE" w:rsidRPr="00B71927">
        <w:t>the post</w:t>
      </w:r>
      <w:r w:rsidR="007D47B3">
        <w:t>-</w:t>
      </w:r>
      <w:r w:rsidR="00233BEE" w:rsidRPr="00B71927">
        <w:t xml:space="preserve">break </w:t>
      </w:r>
      <w:r w:rsidR="007D47B3">
        <w:t>coefficient on</w:t>
      </w:r>
      <w:r w:rsidR="00233BEE">
        <w:t xml:space="preserve"> INFL is much greater than the pre-break value</w:t>
      </w:r>
      <w:r w:rsidR="007D47B3">
        <w:t xml:space="preserve">. This means that </w:t>
      </w:r>
      <w:r w:rsidR="0030637D">
        <w:t>the FOMC’</w:t>
      </w:r>
      <w:r w:rsidR="007D47B3">
        <w:t>s incre</w:t>
      </w:r>
      <w:r w:rsidR="0030637D">
        <w:t>ased discussion of inflation versus</w:t>
      </w:r>
      <w:r w:rsidR="007D47B3">
        <w:t xml:space="preserve"> unemployment has a </w:t>
      </w:r>
      <w:r w:rsidR="00E53B54">
        <w:t xml:space="preserve">stronger relationship to </w:t>
      </w:r>
      <w:r w:rsidR="00165C3A" w:rsidRPr="009D469E">
        <w:rPr>
          <w:i/>
        </w:rPr>
        <w:t>FFR</w:t>
      </w:r>
      <w:r w:rsidR="00165C3A" w:rsidRPr="009D469E">
        <w:rPr>
          <w:i/>
          <w:vertAlign w:val="subscript"/>
        </w:rPr>
        <w:t>t</w:t>
      </w:r>
      <w:r w:rsidR="007D47B3">
        <w:t xml:space="preserve"> </w:t>
      </w:r>
      <w:r w:rsidR="002E09E2">
        <w:t xml:space="preserve">post-break </w:t>
      </w:r>
      <w:r w:rsidR="007D47B3">
        <w:t>than pre-break.</w:t>
      </w:r>
      <w:r w:rsidR="007D47B3">
        <w:rPr>
          <w:rStyle w:val="FootnoteReference"/>
        </w:rPr>
        <w:footnoteReference w:id="21"/>
      </w:r>
    </w:p>
    <w:p w14:paraId="5F5C4F21" w14:textId="01D0CEDA" w:rsidR="00C532AB" w:rsidRPr="009D469E" w:rsidRDefault="00DA4DEA" w:rsidP="001369FF">
      <w:pPr>
        <w:contextualSpacing/>
      </w:pPr>
      <w:r>
        <w:t>Column (1),</w:t>
      </w:r>
      <w:r w:rsidR="00396802">
        <w:t xml:space="preserve"> however,</w:t>
      </w:r>
      <w:r w:rsidR="00F42D4A" w:rsidRPr="009D469E">
        <w:t xml:space="preserve"> </w:t>
      </w:r>
      <w:r w:rsidR="00C532AB" w:rsidRPr="009D469E">
        <w:t xml:space="preserve">is problematic </w:t>
      </w:r>
      <w:r w:rsidR="00F42D4A">
        <w:t>due to</w:t>
      </w:r>
      <w:r w:rsidR="00C532AB" w:rsidRPr="009D469E">
        <w:t xml:space="preserve"> substantial autocorrelation</w:t>
      </w:r>
      <w:r w:rsidR="008E5088">
        <w:t xml:space="preserve">, which has </w:t>
      </w:r>
      <w:r w:rsidR="00C532AB" w:rsidRPr="009D469E">
        <w:t>two components</w:t>
      </w:r>
      <w:r w:rsidR="008E5088">
        <w:t xml:space="preserve"> (English et al 2003)</w:t>
      </w:r>
      <w:r w:rsidR="00C532AB" w:rsidRPr="009D469E">
        <w:t>.</w:t>
      </w:r>
      <w:r w:rsidR="008E5088">
        <w:t xml:space="preserve"> </w:t>
      </w:r>
      <w:r w:rsidR="00C532AB" w:rsidRPr="009D469E">
        <w:t xml:space="preserve">First, there are variables that affect the federal funds rate that are not in the estimation, and these variables </w:t>
      </w:r>
      <w:r w:rsidR="00396802">
        <w:t>may</w:t>
      </w:r>
      <w:r w:rsidR="00396802" w:rsidRPr="009D469E">
        <w:t xml:space="preserve"> </w:t>
      </w:r>
      <w:r w:rsidR="00C532AB" w:rsidRPr="009D469E">
        <w:t xml:space="preserve">themselves </w:t>
      </w:r>
      <w:r w:rsidR="00396802">
        <w:t xml:space="preserve">be </w:t>
      </w:r>
      <w:r w:rsidR="00C532AB" w:rsidRPr="009D469E">
        <w:t xml:space="preserve">autocorrelated. </w:t>
      </w:r>
      <w:r w:rsidR="00445F5B">
        <w:t>Rudeb</w:t>
      </w:r>
      <w:r w:rsidR="005D2E0B">
        <w:t>u</w:t>
      </w:r>
      <w:r w:rsidR="00445F5B">
        <w:t xml:space="preserve">sch </w:t>
      </w:r>
      <w:r w:rsidR="005D2E0B">
        <w:t xml:space="preserve">(2002), for example, claims that </w:t>
      </w:r>
      <w:r w:rsidR="001B01C7">
        <w:t xml:space="preserve">almost </w:t>
      </w:r>
      <w:r w:rsidR="005D2E0B">
        <w:t xml:space="preserve">all of the apparent inertia in monetary policy is actually due to autocorrelated errors such as </w:t>
      </w:r>
      <w:r w:rsidR="00F1277D">
        <w:t xml:space="preserve">credit crunches and financial crises which </w:t>
      </w:r>
      <w:r w:rsidR="001D6618">
        <w:t>have a cascade-like structure.</w:t>
      </w:r>
      <w:r w:rsidR="005D2E0B">
        <w:t xml:space="preserve"> </w:t>
      </w:r>
      <w:r w:rsidR="00C532AB" w:rsidRPr="009D469E">
        <w:t xml:space="preserve">This can be handled by </w:t>
      </w:r>
      <w:r w:rsidR="008E5088" w:rsidRPr="009D469E">
        <w:t>using the Newey-West standard errors (s.e.)</w:t>
      </w:r>
      <w:r w:rsidR="008E5088">
        <w:t>, a common method</w:t>
      </w:r>
      <w:r w:rsidR="00C532AB" w:rsidRPr="009D469E">
        <w:t xml:space="preserve"> for adjusting the error covariance matrix. Second, the estimation in Column </w:t>
      </w:r>
      <w:r w:rsidR="00265505">
        <w:t>(</w:t>
      </w:r>
      <w:r w:rsidR="00C532AB" w:rsidRPr="009D469E">
        <w:t>1</w:t>
      </w:r>
      <w:r w:rsidR="00265505">
        <w:t>)</w:t>
      </w:r>
      <w:r w:rsidR="00C532AB" w:rsidRPr="009D469E">
        <w:t xml:space="preserve"> is misspecified, making the coefficients biased, because when the FOMC sets the federal funds rat</w:t>
      </w:r>
      <w:r w:rsidR="00C532AB" w:rsidRPr="008E5088">
        <w:rPr>
          <w:color w:val="000000" w:themeColor="text1"/>
        </w:rPr>
        <w:t xml:space="preserve">e, </w:t>
      </w:r>
      <w:r w:rsidR="00C532AB" w:rsidRPr="009D469E">
        <w:t xml:space="preserve">it tends to smooth the changes it makes. </w:t>
      </w:r>
      <w:r w:rsidR="008E5088">
        <w:t>Taking this smoothing into account,</w:t>
      </w:r>
      <w:r w:rsidR="00C532AB" w:rsidRPr="009D469E">
        <w:t xml:space="preserve"> the equation that determines </w:t>
      </w:r>
      <w:r w:rsidR="00C532AB" w:rsidRPr="009D469E">
        <w:rPr>
          <w:i/>
        </w:rPr>
        <w:t>FFR</w:t>
      </w:r>
      <w:r w:rsidR="00C532AB" w:rsidRPr="009D469E">
        <w:rPr>
          <w:i/>
          <w:vertAlign w:val="subscript"/>
        </w:rPr>
        <w:t>t</w:t>
      </w:r>
      <w:r w:rsidR="00C532AB" w:rsidRPr="009D469E">
        <w:t xml:space="preserve"> is:</w:t>
      </w:r>
    </w:p>
    <w:p w14:paraId="6C4BDAF0" w14:textId="057A2D38" w:rsidR="00C532AB" w:rsidRPr="009D469E" w:rsidRDefault="00C532AB" w:rsidP="00762EFF">
      <w:pPr>
        <w:contextualSpacing/>
        <w:jc w:val="center"/>
      </w:pPr>
      <w:r w:rsidRPr="009D469E">
        <w:rPr>
          <w:i/>
        </w:rPr>
        <w:t>FFR</w:t>
      </w:r>
      <w:r w:rsidRPr="009D469E">
        <w:rPr>
          <w:i/>
          <w:vertAlign w:val="subscript"/>
        </w:rPr>
        <w:t>t</w:t>
      </w:r>
      <w:r w:rsidRPr="009D469E">
        <w:t xml:space="preserve"> = </w:t>
      </w:r>
      <w:r w:rsidRPr="009D469E">
        <w:sym w:font="Symbol" w:char="F06C"/>
      </w:r>
      <w:r w:rsidRPr="009D469E">
        <w:t xml:space="preserve"> </w:t>
      </w:r>
      <w:r w:rsidR="008072EC">
        <w:t>(</w:t>
      </w:r>
      <w:r w:rsidR="008072EC" w:rsidRPr="00741648">
        <w:rPr>
          <w:i/>
        </w:rPr>
        <w:t>i</w:t>
      </w:r>
      <w:r w:rsidR="008072EC" w:rsidRPr="00741648">
        <w:rPr>
          <w:i/>
          <w:vertAlign w:val="subscript"/>
        </w:rPr>
        <w:t>t</w:t>
      </w:r>
      <w:r w:rsidR="00BD11BB">
        <w:t xml:space="preserve"> </w:t>
      </w:r>
      <w:r w:rsidR="008072EC">
        <w:t>)</w:t>
      </w:r>
      <w:r w:rsidRPr="009D469E">
        <w:t xml:space="preserve"> +(1-</w:t>
      </w:r>
      <w:r w:rsidRPr="009D469E">
        <w:sym w:font="Symbol" w:char="F06C"/>
      </w:r>
      <w:r w:rsidRPr="009D469E">
        <w:t xml:space="preserve">) </w:t>
      </w:r>
      <w:r w:rsidRPr="009D469E">
        <w:rPr>
          <w:i/>
        </w:rPr>
        <w:t>FFR</w:t>
      </w:r>
      <w:r w:rsidRPr="009D469E">
        <w:rPr>
          <w:i/>
          <w:vertAlign w:val="subscript"/>
        </w:rPr>
        <w:t>t-1</w:t>
      </w:r>
      <w:r w:rsidRPr="009D469E">
        <w:tab/>
      </w:r>
      <w:r w:rsidRPr="009D469E">
        <w:tab/>
        <w:t>(</w:t>
      </w:r>
      <w:r w:rsidR="00B169C0">
        <w:t>5</w:t>
      </w:r>
      <w:r w:rsidRPr="009D469E">
        <w:t>)</w:t>
      </w:r>
    </w:p>
    <w:p w14:paraId="0DB4841E" w14:textId="429C24F0" w:rsidR="00C532AB" w:rsidRPr="009D469E" w:rsidRDefault="00396802" w:rsidP="001369FF">
      <w:pPr>
        <w:ind w:firstLine="0"/>
        <w:contextualSpacing/>
      </w:pPr>
      <w:r>
        <w:t xml:space="preserve">where </w:t>
      </w:r>
      <w:r w:rsidRPr="00741648">
        <w:rPr>
          <w:i/>
        </w:rPr>
        <w:t>i</w:t>
      </w:r>
      <w:r w:rsidRPr="00741648">
        <w:rPr>
          <w:i/>
          <w:vertAlign w:val="subscript"/>
        </w:rPr>
        <w:t>t</w:t>
      </w:r>
      <w:r>
        <w:t xml:space="preserve"> </w:t>
      </w:r>
      <w:r w:rsidR="008072EC">
        <w:t>from</w:t>
      </w:r>
      <w:r>
        <w:t xml:space="preserve"> </w:t>
      </w:r>
      <w:r w:rsidR="002561D8">
        <w:t>E</w:t>
      </w:r>
      <w:r>
        <w:t>quation (</w:t>
      </w:r>
      <w:r w:rsidR="00DF14FB">
        <w:t>3</w:t>
      </w:r>
      <w:r>
        <w:t>)</w:t>
      </w:r>
      <w:r w:rsidR="008072EC">
        <w:t xml:space="preserve"> is the Taylor Rule interest rate t</w:t>
      </w:r>
      <w:r w:rsidR="008072EC" w:rsidRPr="009D469E">
        <w:t>arget</w:t>
      </w:r>
      <w:r>
        <w:t xml:space="preserve">. </w:t>
      </w:r>
      <w:r w:rsidR="008E5088">
        <w:t>W</w:t>
      </w:r>
      <w:r w:rsidR="00C532AB" w:rsidRPr="009D469E">
        <w:t>e cannot</w:t>
      </w:r>
      <w:r w:rsidR="008E5088">
        <w:t>, however,</w:t>
      </w:r>
      <w:r w:rsidR="00C532AB" w:rsidRPr="009D469E">
        <w:t xml:space="preserve"> simply include </w:t>
      </w:r>
      <w:r w:rsidR="00C532AB" w:rsidRPr="009D469E">
        <w:rPr>
          <w:i/>
        </w:rPr>
        <w:t>FFR</w:t>
      </w:r>
      <w:r w:rsidR="00C532AB" w:rsidRPr="009D469E">
        <w:rPr>
          <w:i/>
          <w:vertAlign w:val="subscript"/>
        </w:rPr>
        <w:t xml:space="preserve">t-1 </w:t>
      </w:r>
      <w:r w:rsidR="008E5088">
        <w:t>in our regressions</w:t>
      </w:r>
      <w:r w:rsidR="00C532AB" w:rsidRPr="009D469E">
        <w:t xml:space="preserve"> because the coefficient on a lagged dependent variable in the presence of autocorrelated errors is also biased. We, therefore, estimate (</w:t>
      </w:r>
      <w:r w:rsidR="00DA4DEA">
        <w:t>5</w:t>
      </w:r>
      <w:r w:rsidR="00C532AB" w:rsidRPr="009D469E">
        <w:t xml:space="preserve">) using Two Stage </w:t>
      </w:r>
      <w:r w:rsidR="00C532AB" w:rsidRPr="009D469E">
        <w:lastRenderedPageBreak/>
        <w:t xml:space="preserve">Least Squares with the lagged values of the variables in Column </w:t>
      </w:r>
      <w:r w:rsidR="00021663">
        <w:t>(</w:t>
      </w:r>
      <w:r w:rsidR="00C532AB" w:rsidRPr="009D469E">
        <w:t>1</w:t>
      </w:r>
      <w:r w:rsidR="00021663">
        <w:t>)</w:t>
      </w:r>
      <w:r w:rsidR="00C532AB" w:rsidRPr="009D469E">
        <w:t xml:space="preserve"> as our instruments for </w:t>
      </w:r>
      <w:r w:rsidR="00C532AB" w:rsidRPr="009D469E">
        <w:rPr>
          <w:i/>
        </w:rPr>
        <w:t>FFR</w:t>
      </w:r>
      <w:r w:rsidR="00C532AB" w:rsidRPr="009D469E">
        <w:rPr>
          <w:i/>
          <w:vertAlign w:val="subscript"/>
        </w:rPr>
        <w:t xml:space="preserve">t-1 </w:t>
      </w:r>
      <w:r w:rsidR="00C532AB" w:rsidRPr="009D469E">
        <w:t>in the first stage.</w:t>
      </w:r>
      <w:r w:rsidR="00C532AB" w:rsidRPr="009D469E">
        <w:rPr>
          <w:rStyle w:val="FootnoteReference"/>
          <w:color w:val="000000" w:themeColor="text1"/>
        </w:rPr>
        <w:footnoteReference w:id="22"/>
      </w:r>
      <w:r w:rsidR="00C532AB" w:rsidRPr="009D469E">
        <w:t xml:space="preserve"> In the second stage, we include the predicted values of </w:t>
      </w:r>
      <w:r w:rsidR="00C532AB" w:rsidRPr="009D469E">
        <w:rPr>
          <w:i/>
        </w:rPr>
        <w:t>FFR</w:t>
      </w:r>
      <w:r w:rsidR="00C532AB" w:rsidRPr="009D469E">
        <w:rPr>
          <w:i/>
          <w:vertAlign w:val="subscript"/>
        </w:rPr>
        <w:t>t-1</w:t>
      </w:r>
      <w:r w:rsidR="00853462">
        <w:t xml:space="preserve"> </w:t>
      </w:r>
      <w:r>
        <w:t>from the first stage</w:t>
      </w:r>
      <w:r w:rsidR="00C532AB" w:rsidRPr="009D469E">
        <w:t xml:space="preserve"> and use Newey standard errors.</w:t>
      </w:r>
    </w:p>
    <w:p w14:paraId="6C2E9D22" w14:textId="7B41D750" w:rsidR="00233BEE" w:rsidRDefault="00C532AB" w:rsidP="001369FF">
      <w:pPr>
        <w:contextualSpacing/>
      </w:pPr>
      <w:r w:rsidRPr="009D469E">
        <w:t xml:space="preserve">With these methods, Columns (2) and (3) of Table 2 correct both for autocorrelation and misspecification. Column (2) does not include the Chair dummies, whereas Column (3) does. </w:t>
      </w:r>
      <w:r w:rsidR="00FB1A6E">
        <w:t xml:space="preserve">The </w:t>
      </w:r>
      <w:r w:rsidR="0098179E">
        <w:t xml:space="preserve">Chair dummies allow each chairmanship to have its own combination of </w:t>
      </w:r>
      <w:r w:rsidR="0098179E" w:rsidRPr="009D469E">
        <w:t>long run nominal interest rate target (</w:t>
      </w:r>
      <w:r w:rsidR="0098179E" w:rsidRPr="009D469E">
        <w:rPr>
          <w:i/>
        </w:rPr>
        <w:t>i*</w:t>
      </w:r>
      <w:r w:rsidR="00154AD8">
        <w:t>)</w:t>
      </w:r>
      <w:r w:rsidR="0098179E" w:rsidRPr="009D469E">
        <w:t>, inflation target (</w:t>
      </w:r>
      <w:r w:rsidR="0098179E" w:rsidRPr="009D469E">
        <w:rPr>
          <w:i/>
        </w:rPr>
        <w:sym w:font="Symbol" w:char="F070"/>
      </w:r>
      <w:r w:rsidR="0098179E" w:rsidRPr="009D469E">
        <w:rPr>
          <w:i/>
        </w:rPr>
        <w:t>*</w:t>
      </w:r>
      <w:r w:rsidR="0098179E" w:rsidRPr="009D469E">
        <w:t xml:space="preserve">), and </w:t>
      </w:r>
      <w:r w:rsidR="0098179E" w:rsidRPr="009D469E">
        <w:rPr>
          <w:i/>
        </w:rPr>
        <w:t>u</w:t>
      </w:r>
      <w:r w:rsidR="0098179E" w:rsidRPr="009D469E">
        <w:rPr>
          <w:i/>
          <w:vertAlign w:val="subscript"/>
        </w:rPr>
        <w:t>n</w:t>
      </w:r>
      <w:r w:rsidR="0098179E">
        <w:rPr>
          <w:i/>
          <w:vertAlign w:val="subscript"/>
        </w:rPr>
        <w:t xml:space="preserve"> </w:t>
      </w:r>
      <w:r w:rsidR="0098179E" w:rsidRPr="009D469E">
        <w:t>.</w:t>
      </w:r>
      <w:r w:rsidR="0098179E">
        <w:t xml:space="preserve"> We can only estimate the linear combination </w:t>
      </w:r>
      <m:oMath>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-a</m:t>
        </m:r>
        <m:sSup>
          <m:sSupPr>
            <m:ctrlPr>
              <w:rPr>
                <w:rFonts w:ascii="Cambria Math" w:hAnsi="Cambria Math"/>
                <w:i/>
              </w:rPr>
            </m:ctrlPr>
          </m:sSupPr>
          <m:e>
            <m:r>
              <w:rPr>
                <w:rFonts w:ascii="Cambria Math" w:hAnsi="Cambria Math"/>
              </w:rPr>
              <m:t>π</m:t>
            </m:r>
          </m:e>
          <m:sup>
            <m:r>
              <w:rPr>
                <w:rFonts w:ascii="Cambria Math" w:hAnsi="Cambria Math"/>
              </w:rPr>
              <m:t>*</m:t>
            </m:r>
          </m:sup>
        </m:sSup>
        <m:r>
          <w:rPr>
            <w:rFonts w:ascii="Cambria Math" w:hAnsi="Cambria Math"/>
          </w:rPr>
          <m:t>+b</m:t>
        </m:r>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m:t>
        </m:r>
      </m:oMath>
      <w:r w:rsidR="0098179E">
        <w:t xml:space="preserve"> and not the individual components separately. </w:t>
      </w:r>
    </w:p>
    <w:p w14:paraId="3AEC682F" w14:textId="39B9F253" w:rsidR="00C532AB" w:rsidRPr="009D469E" w:rsidRDefault="00C532AB" w:rsidP="001369FF">
      <w:pPr>
        <w:contextualSpacing/>
      </w:pPr>
      <w:r w:rsidRPr="009D469E">
        <w:t xml:space="preserve">Both models display </w:t>
      </w:r>
      <w:r w:rsidR="00247651">
        <w:t xml:space="preserve">a positive and significant connection of </w:t>
      </w:r>
      <w:r w:rsidRPr="009D469E">
        <w:t xml:space="preserve">INFL </w:t>
      </w:r>
      <w:r w:rsidR="005155DD">
        <w:t>to</w:t>
      </w:r>
      <w:r w:rsidRPr="009D469E">
        <w:t xml:space="preserve"> </w:t>
      </w:r>
      <w:r w:rsidRPr="009D469E">
        <w:rPr>
          <w:i/>
        </w:rPr>
        <w:t>FFR</w:t>
      </w:r>
      <w:r w:rsidRPr="009D469E">
        <w:rPr>
          <w:i/>
          <w:vertAlign w:val="subscript"/>
        </w:rPr>
        <w:t>t</w:t>
      </w:r>
      <w:r w:rsidR="00B62385" w:rsidRPr="00B71927">
        <w:t xml:space="preserve">, </w:t>
      </w:r>
      <w:r w:rsidR="00B62385">
        <w:t xml:space="preserve">much </w:t>
      </w:r>
      <w:r w:rsidR="00B62385" w:rsidRPr="00B71927">
        <w:t>more</w:t>
      </w:r>
      <w:r w:rsidR="00B62385">
        <w:t xml:space="preserve"> </w:t>
      </w:r>
      <w:r w:rsidR="00B62385" w:rsidRPr="00B71927">
        <w:t>so post-break than pre-break</w:t>
      </w:r>
      <w:r w:rsidR="00B62385">
        <w:t>.</w:t>
      </w:r>
      <w:r w:rsidRPr="009D469E">
        <w:t xml:space="preserve"> Both also show CPI and unemployment with correct signs, with the former being significant in both models.</w:t>
      </w:r>
      <w:r w:rsidR="00AB42E3">
        <w:t xml:space="preserve"> </w:t>
      </w:r>
      <w:r w:rsidR="00B950AE">
        <w:t xml:space="preserve">These findings are suggestive that </w:t>
      </w:r>
      <w:r w:rsidRPr="009D469E">
        <w:t>the more FOMC members talk about inflation relative to unemployment (INFL), the higher they set the federal funds rate even after controlling for the real time values of inflation, the unemployment rate, the Chairman, and the makeup of the Committee.</w:t>
      </w:r>
      <w:r w:rsidR="005B78C3" w:rsidRPr="005B78C3">
        <w:t xml:space="preserve"> </w:t>
      </w:r>
      <w:r w:rsidR="005B78C3" w:rsidRPr="009D469E">
        <w:t>According to Column (3), an increase</w:t>
      </w:r>
      <w:r w:rsidR="005B78C3">
        <w:t xml:space="preserve"> of .1</w:t>
      </w:r>
      <w:r w:rsidR="005B78C3" w:rsidRPr="009D469E">
        <w:t xml:space="preserve"> in INFL</w:t>
      </w:r>
      <w:r w:rsidR="00B62385">
        <w:t xml:space="preserve"> post-break</w:t>
      </w:r>
      <w:r w:rsidR="005B78C3" w:rsidRPr="009D469E">
        <w:t xml:space="preserve"> </w:t>
      </w:r>
      <w:r w:rsidR="00396802">
        <w:t xml:space="preserve">(say </w:t>
      </w:r>
      <w:r w:rsidR="00103F73">
        <w:t xml:space="preserve">from </w:t>
      </w:r>
      <w:r w:rsidR="00396802">
        <w:t xml:space="preserve">50% to 60%) </w:t>
      </w:r>
      <w:r w:rsidR="007F640E">
        <w:t xml:space="preserve">is associated with a </w:t>
      </w:r>
      <w:r w:rsidR="00807300">
        <w:t>1.147</w:t>
      </w:r>
      <w:r w:rsidR="007F640E" w:rsidRPr="009D469E">
        <w:t>%</w:t>
      </w:r>
      <w:r w:rsidR="007F640E">
        <w:t xml:space="preserve"> increase in </w:t>
      </w:r>
      <w:r w:rsidR="005B78C3" w:rsidRPr="009D469E">
        <w:t>the long run federal funds rate, which is definitely not trivial.</w:t>
      </w:r>
      <w:r w:rsidR="005B78C3">
        <w:rPr>
          <w:rStyle w:val="FootnoteReference"/>
        </w:rPr>
        <w:footnoteReference w:id="23"/>
      </w:r>
      <w:r w:rsidR="00350201" w:rsidRPr="00350201">
        <w:t xml:space="preserve"> </w:t>
      </w:r>
      <w:r w:rsidR="00807300">
        <w:t>As noted in Section 1</w:t>
      </w:r>
      <w:r w:rsidR="00350201">
        <w:t xml:space="preserve">, these results </w:t>
      </w:r>
      <w:r w:rsidR="00247651">
        <w:t xml:space="preserve">bear </w:t>
      </w:r>
      <w:r w:rsidR="00350201">
        <w:t xml:space="preserve">the usual caveat that we observe correlation and not causation between INFL and the federal funds </w:t>
      </w:r>
      <w:r w:rsidR="00350201">
        <w:lastRenderedPageBreak/>
        <w:t>rate. In</w:t>
      </w:r>
      <w:r w:rsidR="00E05DF7">
        <w:t xml:space="preserve"> other words, we cannot definitive</w:t>
      </w:r>
      <w:r w:rsidR="00350201">
        <w:t xml:space="preserve">ly say that FOMC discussions affected the federal funds rate. Yet, given </w:t>
      </w:r>
      <w:r w:rsidR="00807300">
        <w:t xml:space="preserve">that </w:t>
      </w:r>
      <w:r w:rsidR="00350201">
        <w:t xml:space="preserve">we control for a host of variables that </w:t>
      </w:r>
      <w:r w:rsidR="0099109E">
        <w:t xml:space="preserve">plausibly influence the federal funds rate, the results are suggestive. </w:t>
      </w:r>
      <w:r w:rsidR="0099109E" w:rsidRPr="004C3FCE">
        <w:t>At the very least, INFL captures variables not accounted for by the economic variables in the Taylor Rule</w:t>
      </w:r>
      <w:r w:rsidR="0085729E" w:rsidRPr="004C3FCE">
        <w:t>, which is a significant finding</w:t>
      </w:r>
      <w:r w:rsidR="0099109E" w:rsidRPr="004C3FCE">
        <w:t>.</w:t>
      </w:r>
    </w:p>
    <w:p w14:paraId="378D2CF3" w14:textId="2D923F88" w:rsidR="009200DC" w:rsidRDefault="00C532AB" w:rsidP="00741648">
      <w:pPr>
        <w:contextualSpacing/>
      </w:pPr>
      <w:r w:rsidRPr="009D469E">
        <w:t>In Column (4), we exclude INFL but otherwise mirror Column (3) to examine how much the inclusion of INFL improves the fit of the regression. While the difference in R-</w:t>
      </w:r>
      <w:r w:rsidRPr="009D469E">
        <w:rPr>
          <w:lang w:val="en-GB"/>
        </w:rPr>
        <w:t>squareds</w:t>
      </w:r>
      <w:r w:rsidRPr="009D469E">
        <w:t xml:space="preserve"> may seem small, the addition of INFL to the equation helps account for about </w:t>
      </w:r>
      <w:r w:rsidR="00E26690" w:rsidRPr="009D469E">
        <w:t>2</w:t>
      </w:r>
      <w:r w:rsidR="00E26690">
        <w:t>8</w:t>
      </w:r>
      <w:r w:rsidRPr="009D469E">
        <w:t>% of the remaining unexplained variation (Column 3 compared to Column 4)</w:t>
      </w:r>
      <w:r w:rsidR="00E26690">
        <w:t>.</w:t>
      </w:r>
      <w:r w:rsidR="000879AE">
        <w:rPr>
          <w:rStyle w:val="FootnoteReference"/>
        </w:rPr>
        <w:footnoteReference w:id="24"/>
      </w:r>
      <w:r w:rsidRPr="009D469E">
        <w:t xml:space="preserve"> In short, FOMC deliberations matter not simply in their own right, but also due their </w:t>
      </w:r>
      <w:r w:rsidR="00D522D3">
        <w:t xml:space="preserve">relationship to </w:t>
      </w:r>
      <w:r w:rsidRPr="009D469E">
        <w:t>the federal funds rate.</w:t>
      </w:r>
      <w:r w:rsidR="00D90E71">
        <w:rPr>
          <w:rStyle w:val="FootnoteReference"/>
        </w:rPr>
        <w:footnoteReference w:id="25"/>
      </w:r>
    </w:p>
    <w:p w14:paraId="1E2E7CF2" w14:textId="3A867B3E" w:rsidR="00311A91" w:rsidRPr="009D469E" w:rsidRDefault="00B169C0" w:rsidP="00311A91">
      <w:pPr>
        <w:pStyle w:val="Heading1"/>
        <w:contextualSpacing/>
        <w:rPr>
          <w:szCs w:val="24"/>
        </w:rPr>
      </w:pPr>
      <w:r>
        <w:rPr>
          <w:szCs w:val="24"/>
        </w:rPr>
        <w:t>I</w:t>
      </w:r>
      <w:r w:rsidR="00393396">
        <w:rPr>
          <w:szCs w:val="24"/>
        </w:rPr>
        <w:t>V</w:t>
      </w:r>
      <w:r w:rsidR="007E69E3">
        <w:rPr>
          <w:szCs w:val="24"/>
        </w:rPr>
        <w:t>. CONCLUSION</w:t>
      </w:r>
    </w:p>
    <w:p w14:paraId="6A2E05B7" w14:textId="03FAC27F" w:rsidR="008020A0" w:rsidRPr="009D469E" w:rsidRDefault="008020A0" w:rsidP="001369FF">
      <w:pPr>
        <w:contextualSpacing/>
      </w:pPr>
      <w:r w:rsidRPr="009D469E">
        <w:t>This paper has examined the</w:t>
      </w:r>
      <w:r w:rsidR="008637AB" w:rsidRPr="009D469E">
        <w:t xml:space="preserve"> FOMC’s discussions</w:t>
      </w:r>
      <w:r w:rsidRPr="009D469E">
        <w:t xml:space="preserve"> on the inflation-unemployment tradeoff</w:t>
      </w:r>
      <w:r w:rsidR="008637AB" w:rsidRPr="009D469E">
        <w:t xml:space="preserve">, and </w:t>
      </w:r>
      <w:r w:rsidR="00900C1D">
        <w:t>the relationship between these</w:t>
      </w:r>
      <w:r w:rsidR="008637AB" w:rsidRPr="009D469E">
        <w:t xml:space="preserve"> discussions </w:t>
      </w:r>
      <w:r w:rsidR="000B6570">
        <w:t>and</w:t>
      </w:r>
      <w:r w:rsidR="000B6570" w:rsidRPr="009D469E">
        <w:t xml:space="preserve"> </w:t>
      </w:r>
      <w:r w:rsidR="008637AB" w:rsidRPr="009D469E">
        <w:t>the federal funds rate,</w:t>
      </w:r>
      <w:r w:rsidRPr="009D469E">
        <w:t xml:space="preserve"> through a</w:t>
      </w:r>
      <w:r w:rsidR="002F3182">
        <w:t>n analysis</w:t>
      </w:r>
      <w:r w:rsidRPr="009D469E">
        <w:t xml:space="preserve"> of the committee’s transcripts over the fifty years from 1960</w:t>
      </w:r>
      <w:r w:rsidR="00033F01" w:rsidRPr="009D469E">
        <w:t>–</w:t>
      </w:r>
      <w:r w:rsidRPr="009D469E">
        <w:t xml:space="preserve">2010. To our knowledge, this is the longest </w:t>
      </w:r>
      <w:r w:rsidR="004742C2" w:rsidRPr="009D469E">
        <w:t xml:space="preserve">time span </w:t>
      </w:r>
      <w:r w:rsidRPr="009D469E">
        <w:t xml:space="preserve">over which such an analysis has been conducted, permitting an investigation of the changes in the FOMC’s emphasis on inflation versus unemployment. </w:t>
      </w:r>
    </w:p>
    <w:p w14:paraId="029E349F" w14:textId="2EE23232" w:rsidR="008020A0" w:rsidRPr="009D469E" w:rsidRDefault="008020A0" w:rsidP="001369FF">
      <w:pPr>
        <w:contextualSpacing/>
      </w:pPr>
      <w:r w:rsidRPr="009D469E">
        <w:lastRenderedPageBreak/>
        <w:t xml:space="preserve">First, we establish empirically that over time the FOMC </w:t>
      </w:r>
      <w:r w:rsidR="00917E47">
        <w:t xml:space="preserve">discussions </w:t>
      </w:r>
      <w:r w:rsidRPr="009D469E">
        <w:t>ha</w:t>
      </w:r>
      <w:r w:rsidR="00917E47">
        <w:t>ve</w:t>
      </w:r>
      <w:r w:rsidRPr="009D469E">
        <w:t xml:space="preserve"> </w:t>
      </w:r>
      <w:r w:rsidR="00EC572A">
        <w:t>increasingly</w:t>
      </w:r>
      <w:r w:rsidR="00EC572A" w:rsidRPr="009D469E">
        <w:t xml:space="preserve"> </w:t>
      </w:r>
      <w:r w:rsidRPr="009D469E">
        <w:t>emphasized inflation relative to unemployment, controlling for the actual levels of inflation and unemployment. Further, this change appears to have begun with Paul Volcker’s chairmanship and has become entrenched post-Volcker. During the run-up of inflation in the 1970’s, the relative discussion of inflation naturally increased. But after Volcker</w:t>
      </w:r>
      <w:r w:rsidR="00526145" w:rsidRPr="009D469E">
        <w:t>,</w:t>
      </w:r>
      <w:r w:rsidRPr="009D469E">
        <w:t xml:space="preserve"> that discussion became locked</w:t>
      </w:r>
      <w:r w:rsidR="00D1507C" w:rsidRPr="009D469E">
        <w:t xml:space="preserve"> </w:t>
      </w:r>
      <w:r w:rsidRPr="009D469E">
        <w:t xml:space="preserve">in with the emphasis on inflation plateauing at the level it achieved when US inflation was at its highest. The </w:t>
      </w:r>
      <w:r w:rsidR="00D1507C" w:rsidRPr="009D469E">
        <w:t xml:space="preserve">extended </w:t>
      </w:r>
      <w:r w:rsidRPr="009D469E">
        <w:t>subsequent history of low infl</w:t>
      </w:r>
      <w:r w:rsidR="00226E65" w:rsidRPr="009D469E">
        <w:t>ation has not lowered the FOMC discussions’</w:t>
      </w:r>
      <w:r w:rsidRPr="009D469E">
        <w:t xml:space="preserve"> relative emphasis on inflation. In this respect, the discussions at the FOMC with respect to inflation </w:t>
      </w:r>
      <w:r w:rsidR="003249A5" w:rsidRPr="009D469E">
        <w:t xml:space="preserve">versus </w:t>
      </w:r>
      <w:r w:rsidRPr="009D469E">
        <w:t>unemployment have become detached from the underlying trends in inflation.</w:t>
      </w:r>
    </w:p>
    <w:p w14:paraId="08E62183" w14:textId="6044BAD5" w:rsidR="008020A0" w:rsidRPr="009D469E" w:rsidRDefault="008020A0" w:rsidP="001369FF">
      <w:pPr>
        <w:contextualSpacing/>
      </w:pPr>
      <w:r w:rsidRPr="009D469E">
        <w:t xml:space="preserve">Second, the paper provides evidence that the increased emphasis on inflation in the FOMC’s discussions </w:t>
      </w:r>
      <w:r w:rsidR="00917E47">
        <w:t>was connected to</w:t>
      </w:r>
      <w:r w:rsidR="00917E47" w:rsidRPr="009D469E">
        <w:t xml:space="preserve"> </w:t>
      </w:r>
      <w:r w:rsidR="00D1507C" w:rsidRPr="009D469E">
        <w:t>their policy priorities</w:t>
      </w:r>
      <w:r w:rsidRPr="009D469E">
        <w:t xml:space="preserve">. We estimate a Taylor Rule and demonstrate that the increased emphasis on inflation </w:t>
      </w:r>
      <w:r w:rsidR="00137C5B">
        <w:t>is positively and significantly related to</w:t>
      </w:r>
      <w:r w:rsidR="00B25204">
        <w:t xml:space="preserve"> the</w:t>
      </w:r>
      <w:r w:rsidRPr="009D469E">
        <w:t xml:space="preserve"> federal funds rate</w:t>
      </w:r>
      <w:r w:rsidR="00DD6707">
        <w:t>, even after controlling for</w:t>
      </w:r>
      <w:r w:rsidRPr="009D469E">
        <w:t xml:space="preserve"> the actual levels of inflation and unemployment</w:t>
      </w:r>
      <w:r w:rsidR="00DD6707">
        <w:t xml:space="preserve"> and their targets</w:t>
      </w:r>
      <w:r w:rsidRPr="009D469E">
        <w:t>. This finding is important in demonstrating how FOMC discussions</w:t>
      </w:r>
      <w:r w:rsidR="00915871">
        <w:t xml:space="preserve"> themselves, or elements captured by the measure of those discussions,</w:t>
      </w:r>
      <w:r w:rsidRPr="009D469E">
        <w:t xml:space="preserve"> affect decisions beyond the factors encapsulated in the </w:t>
      </w:r>
      <w:r w:rsidR="00615240" w:rsidRPr="009D469E">
        <w:t xml:space="preserve">traditional </w:t>
      </w:r>
      <w:r w:rsidRPr="009D469E">
        <w:t>Taylor Rule</w:t>
      </w:r>
      <w:r w:rsidR="006B59D7">
        <w:t>.</w:t>
      </w:r>
    </w:p>
    <w:p w14:paraId="4522643C" w14:textId="3DCB81C9" w:rsidR="008020A0" w:rsidRPr="009D469E" w:rsidRDefault="00A500C2" w:rsidP="001369FF">
      <w:pPr>
        <w:contextualSpacing/>
      </w:pPr>
      <w:r>
        <w:t xml:space="preserve">While the paper </w:t>
      </w:r>
      <w:r w:rsidR="00917E47">
        <w:t xml:space="preserve">does </w:t>
      </w:r>
      <w:r>
        <w:t>not aim</w:t>
      </w:r>
      <w:r w:rsidR="00EB3963">
        <w:t xml:space="preserve"> to provide a full explanation</w:t>
      </w:r>
      <w:r w:rsidR="007B49A7">
        <w:t xml:space="preserve"> of the reasons for the FOMC’s persistent focus on inflation long after it was brought down</w:t>
      </w:r>
      <w:r>
        <w:t>,</w:t>
      </w:r>
      <w:r w:rsidR="00B169C0">
        <w:t xml:space="preserve"> we provide some preliminary analysis</w:t>
      </w:r>
      <w:r w:rsidR="001D52A4">
        <w:rPr>
          <w:bCs/>
        </w:rPr>
        <w:t>.</w:t>
      </w:r>
      <w:r w:rsidR="001D52A4">
        <w:t xml:space="preserve"> </w:t>
      </w:r>
      <w:r w:rsidR="002F3182">
        <w:t>Our reading of the</w:t>
      </w:r>
      <w:r w:rsidR="007B49A7">
        <w:t xml:space="preserve"> FOMC transcripts</w:t>
      </w:r>
      <w:r w:rsidR="002F3182">
        <w:t xml:space="preserve"> suggests</w:t>
      </w:r>
      <w:r w:rsidR="007B49A7">
        <w:t xml:space="preserve"> </w:t>
      </w:r>
      <w:r w:rsidR="00B244A8" w:rsidRPr="009D469E">
        <w:t xml:space="preserve">that the </w:t>
      </w:r>
      <w:r w:rsidR="008020A0" w:rsidRPr="009D469E">
        <w:t>Fed</w:t>
      </w:r>
      <w:r w:rsidR="00687CF1" w:rsidRPr="009D469E">
        <w:t>’</w:t>
      </w:r>
      <w:r w:rsidR="008020A0" w:rsidRPr="009D469E">
        <w:t xml:space="preserve">s increased emphasis on inflation has more to do with the </w:t>
      </w:r>
      <w:r w:rsidR="00D1507C" w:rsidRPr="009D469E">
        <w:t xml:space="preserve">traumatic </w:t>
      </w:r>
      <w:r w:rsidR="00840FCA" w:rsidRPr="009D469E">
        <w:t>effect</w:t>
      </w:r>
      <w:r w:rsidR="00D1507C" w:rsidRPr="009D469E">
        <w:t xml:space="preserve"> of the </w:t>
      </w:r>
      <w:r w:rsidR="008020A0" w:rsidRPr="009D469E">
        <w:t>inflation of the 1970</w:t>
      </w:r>
      <w:r w:rsidR="005461C1" w:rsidRPr="009D469E">
        <w:t>’</w:t>
      </w:r>
      <w:r w:rsidR="008020A0" w:rsidRPr="009D469E">
        <w:t xml:space="preserve">s </w:t>
      </w:r>
      <w:r w:rsidR="00B244A8" w:rsidRPr="009D469E">
        <w:t xml:space="preserve">than </w:t>
      </w:r>
      <w:r w:rsidR="008E2BA0" w:rsidRPr="009D469E">
        <w:t>with</w:t>
      </w:r>
      <w:r w:rsidR="00B244A8" w:rsidRPr="009D469E">
        <w:t xml:space="preserve"> </w:t>
      </w:r>
      <w:r w:rsidR="007A3303" w:rsidRPr="009D469E">
        <w:t xml:space="preserve">their </w:t>
      </w:r>
      <w:r w:rsidR="00B244A8" w:rsidRPr="009D469E">
        <w:t xml:space="preserve">increased adherence to a particular school of </w:t>
      </w:r>
      <w:r w:rsidR="00A571FF">
        <w:t>m</w:t>
      </w:r>
      <w:r w:rsidR="00A571FF" w:rsidRPr="009D469E">
        <w:t>acroeconomics</w:t>
      </w:r>
      <w:r w:rsidR="00B244A8" w:rsidRPr="009D469E">
        <w:t xml:space="preserve">. </w:t>
      </w:r>
      <w:r w:rsidR="007B49A7">
        <w:rPr>
          <w:bCs/>
        </w:rPr>
        <w:t>This hypothesis is analogous to</w:t>
      </w:r>
      <w:r w:rsidR="00840FCA" w:rsidRPr="009D469E">
        <w:rPr>
          <w:bCs/>
        </w:rPr>
        <w:t xml:space="preserve"> De</w:t>
      </w:r>
      <w:r w:rsidR="0002488D" w:rsidRPr="009D469E">
        <w:rPr>
          <w:bCs/>
        </w:rPr>
        <w:t>L</w:t>
      </w:r>
      <w:r w:rsidR="00840FCA" w:rsidRPr="009D469E">
        <w:rPr>
          <w:bCs/>
        </w:rPr>
        <w:t xml:space="preserve">ong’s (1997) argument that memories of the devastating unemployment of the 1930s slowed </w:t>
      </w:r>
      <w:r w:rsidR="00840FCA" w:rsidRPr="009D469E">
        <w:rPr>
          <w:bCs/>
        </w:rPr>
        <w:lastRenderedPageBreak/>
        <w:t>the Fed’s response to the rising inflation of the late 1960s and early 1970s.</w:t>
      </w:r>
      <w:r w:rsidR="00252B1B">
        <w:rPr>
          <w:bCs/>
        </w:rPr>
        <w:t xml:space="preserve"> Additionally, the shifts in the nature of FOMC discussions do not neatly correspond to shifts in the academic study of macroeconomics, and our reading of FOMC transcripts converges with others</w:t>
      </w:r>
      <w:r w:rsidR="004F510F">
        <w:rPr>
          <w:bCs/>
        </w:rPr>
        <w:t>’ diagnosis</w:t>
      </w:r>
      <w:r w:rsidR="00252B1B">
        <w:rPr>
          <w:bCs/>
        </w:rPr>
        <w:t xml:space="preserve"> (such as Romer and Romer 2004</w:t>
      </w:r>
      <w:r w:rsidR="002312EA">
        <w:rPr>
          <w:bCs/>
        </w:rPr>
        <w:t>; King 2005</w:t>
      </w:r>
      <w:r w:rsidR="00252B1B">
        <w:rPr>
          <w:bCs/>
        </w:rPr>
        <w:t>): the FOMC discussions do not revolve around academic debates and</w:t>
      </w:r>
      <w:r w:rsidR="00584406">
        <w:rPr>
          <w:bCs/>
        </w:rPr>
        <w:t xml:space="preserve"> </w:t>
      </w:r>
      <w:r w:rsidR="009E776B">
        <w:rPr>
          <w:bCs/>
        </w:rPr>
        <w:t>the emergence of some concepts, such as inflationary expectations, in these discussions predate their academic ascendance.</w:t>
      </w:r>
    </w:p>
    <w:p w14:paraId="769C6BDA" w14:textId="089D9EA9" w:rsidR="008020A0" w:rsidRPr="009D469E" w:rsidRDefault="008020A0" w:rsidP="001369FF">
      <w:pPr>
        <w:contextualSpacing/>
      </w:pPr>
      <w:r w:rsidRPr="009D469E">
        <w:t xml:space="preserve">Finally, whether the FOMC’s increased, and one might say untethered, emphasis on inflation is ultimately a good or a bad thing is difficult to say. On the one hand, inflation has been defeated and kept low for an extended period of time in the US and throughout the industrialized world. Many economists believe that this is the primary cause of the Great Moderation. In this light, to the extent that the FOMC’s relative emphasis on inflation played a role in the </w:t>
      </w:r>
      <w:r w:rsidR="00840FCA" w:rsidRPr="009D469E">
        <w:t>sustained low level of</w:t>
      </w:r>
      <w:r w:rsidRPr="009D469E">
        <w:t xml:space="preserve"> inflation, it can be considered </w:t>
      </w:r>
      <w:r w:rsidR="00157080" w:rsidRPr="009D469E">
        <w:t>favorably</w:t>
      </w:r>
      <w:r w:rsidRPr="009D469E">
        <w:t>.</w:t>
      </w:r>
    </w:p>
    <w:p w14:paraId="69E27AA9" w14:textId="433ED0C3" w:rsidR="008020A0" w:rsidRPr="009D469E" w:rsidRDefault="008020A0" w:rsidP="001369FF">
      <w:pPr>
        <w:contextualSpacing/>
      </w:pPr>
      <w:r w:rsidRPr="009D469E">
        <w:t xml:space="preserve">Also on the plus side, the Fed’s extraordinary expansionary response to the Great Recession under the Bernanke chairmanship indicates that as a decision-making body it has not been paralyzed by its emphasis on inflation. In addition, the flattening of the Phillips Curve and the anchoring of inflationary expectations world-wide </w:t>
      </w:r>
      <w:r w:rsidR="00A87CD9" w:rsidRPr="009D469E">
        <w:t>(</w:t>
      </w:r>
      <w:r w:rsidRPr="009D469E">
        <w:t>IMF 2013</w:t>
      </w:r>
      <w:r w:rsidR="00A87CD9" w:rsidRPr="009D469E">
        <w:t>)</w:t>
      </w:r>
      <w:r w:rsidRPr="009D469E">
        <w:t>, which may also be attributed to the regime change ushered in by the Vol</w:t>
      </w:r>
      <w:r w:rsidR="006B59D7">
        <w:t>c</w:t>
      </w:r>
      <w:r w:rsidRPr="009D469E">
        <w:t xml:space="preserve">ker chairmanship, </w:t>
      </w:r>
      <w:r w:rsidR="00A571FF">
        <w:t xml:space="preserve">has given </w:t>
      </w:r>
      <w:r w:rsidRPr="009D469E">
        <w:t xml:space="preserve">central banks wide leeway to maneuver their policy responses. </w:t>
      </w:r>
    </w:p>
    <w:p w14:paraId="57EABA0A" w14:textId="51489483" w:rsidR="009231B8" w:rsidRDefault="008020A0" w:rsidP="00741648">
      <w:pPr>
        <w:contextualSpacing/>
      </w:pPr>
      <w:r w:rsidRPr="009D469E">
        <w:t>On the negative side, the anchoring of inflationary expectations has made it more difficult to escape a liquidity trap by raising inflationary expectations.</w:t>
      </w:r>
      <w:r w:rsidR="00840FCA" w:rsidRPr="009D469E">
        <w:t xml:space="preserve"> Some argue that the Fed’s focus on inflation has reduced labor’s bargaining power and contributed to wage stagnation and </w:t>
      </w:r>
      <w:r w:rsidR="00840FCA" w:rsidRPr="009D469E">
        <w:lastRenderedPageBreak/>
        <w:t>inequality.</w:t>
      </w:r>
      <w:r w:rsidR="002F3182">
        <w:rPr>
          <w:rStyle w:val="FootnoteReference"/>
        </w:rPr>
        <w:footnoteReference w:id="26"/>
      </w:r>
      <w:r w:rsidRPr="009D469E">
        <w:t xml:space="preserve"> Looking forward, the emphasis on inflation </w:t>
      </w:r>
      <w:r w:rsidR="00275EFF" w:rsidRPr="009D469E">
        <w:t>may have made the Fed reluctant to raise its</w:t>
      </w:r>
      <w:r w:rsidRPr="009D469E">
        <w:t xml:space="preserve"> inflation target, so as to give the nominal interest rate more room to fall in the next crisis. Finally, while the flattening of the Phillips Curve and the anchoring of inflationary expectations gives the Fed the leeway to allow the economy to expand more than they would have otherwise, will the Fed’s emphasis on inflation prevent them from using this increased freedom? </w:t>
      </w:r>
      <w:r w:rsidR="00B966F7">
        <w:t>T</w:t>
      </w:r>
      <w:r w:rsidRPr="009D469E">
        <w:t xml:space="preserve">he Great Recession proved that the Fed was not a prisoner of its inflation rhetoric with respect to responding to an historic downturn, </w:t>
      </w:r>
      <w:r w:rsidR="00B966F7">
        <w:t xml:space="preserve">but whether the Fed </w:t>
      </w:r>
      <w:r w:rsidR="0027610D">
        <w:t>can easily</w:t>
      </w:r>
      <w:r w:rsidRPr="009D469E">
        <w:t xml:space="preserve"> show the same flexibility </w:t>
      </w:r>
      <w:r w:rsidR="00275EFF" w:rsidRPr="009D469E">
        <w:t>in the future</w:t>
      </w:r>
      <w:r w:rsidR="00B966F7">
        <w:t xml:space="preserve"> remains to be seen.</w:t>
      </w:r>
    </w:p>
    <w:p w14:paraId="51CD4731" w14:textId="77777777" w:rsidR="009231B8" w:rsidRDefault="009231B8">
      <w:pPr>
        <w:spacing w:line="240" w:lineRule="auto"/>
        <w:ind w:firstLine="0"/>
        <w:jc w:val="left"/>
      </w:pPr>
      <w:r>
        <w:br w:type="page"/>
      </w:r>
    </w:p>
    <w:p w14:paraId="5AA55012" w14:textId="5E311CC3" w:rsidR="005F680C" w:rsidRPr="009D469E" w:rsidRDefault="00E12744">
      <w:pPr>
        <w:pStyle w:val="Heading1"/>
      </w:pPr>
      <w:r w:rsidRPr="009D469E">
        <w:lastRenderedPageBreak/>
        <w:t>REFERENCES</w:t>
      </w:r>
    </w:p>
    <w:p w14:paraId="658E8FAF" w14:textId="4D4CD11E" w:rsidR="006E67F5" w:rsidRPr="009D469E" w:rsidRDefault="006E67F5" w:rsidP="00741648">
      <w:pPr>
        <w:spacing w:line="360" w:lineRule="auto"/>
        <w:ind w:left="720" w:hanging="720"/>
        <w:contextualSpacing/>
        <w:rPr>
          <w:color w:val="000000" w:themeColor="text1"/>
        </w:rPr>
      </w:pPr>
      <w:r w:rsidRPr="009D469E">
        <w:rPr>
          <w:color w:val="000000" w:themeColor="text1"/>
        </w:rPr>
        <w:t xml:space="preserve">Bernanke, Ben S. </w:t>
      </w:r>
      <w:r w:rsidR="0047166B">
        <w:rPr>
          <w:color w:val="000000" w:themeColor="text1"/>
        </w:rPr>
        <w:t>“</w:t>
      </w:r>
      <w:r w:rsidRPr="009D469E">
        <w:rPr>
          <w:color w:val="000000" w:themeColor="text1"/>
        </w:rPr>
        <w:t>The Taylor Rule: A Benchmark for Monetary Policy?</w:t>
      </w:r>
      <w:r w:rsidR="0047166B">
        <w:rPr>
          <w:color w:val="000000" w:themeColor="text1"/>
        </w:rPr>
        <w:t>”</w:t>
      </w:r>
      <w:r w:rsidRPr="009D469E">
        <w:rPr>
          <w:color w:val="000000" w:themeColor="text1"/>
        </w:rPr>
        <w:t xml:space="preserve"> Brookings Institution</w:t>
      </w:r>
      <w:r w:rsidR="0047166B">
        <w:rPr>
          <w:color w:val="000000" w:themeColor="text1"/>
        </w:rPr>
        <w:t>, 2015</w:t>
      </w:r>
      <w:r w:rsidRPr="009D469E">
        <w:rPr>
          <w:color w:val="000000" w:themeColor="text1"/>
        </w:rPr>
        <w:t>.</w:t>
      </w:r>
    </w:p>
    <w:p w14:paraId="292B1999" w14:textId="4BAA8BAA" w:rsidR="006E67F5" w:rsidRPr="009D469E" w:rsidRDefault="006E67F5" w:rsidP="00741648">
      <w:pPr>
        <w:spacing w:line="360" w:lineRule="auto"/>
        <w:ind w:left="720" w:hanging="720"/>
        <w:contextualSpacing/>
        <w:rPr>
          <w:color w:val="000000" w:themeColor="text1"/>
        </w:rPr>
      </w:pPr>
      <w:r w:rsidRPr="009D469E">
        <w:rPr>
          <w:color w:val="000000" w:themeColor="text1"/>
        </w:rPr>
        <w:t xml:space="preserve">Blanchard, Olivier. </w:t>
      </w:r>
      <w:r w:rsidR="00065B7A">
        <w:rPr>
          <w:color w:val="000000" w:themeColor="text1"/>
        </w:rPr>
        <w:t>“</w:t>
      </w:r>
      <w:r w:rsidRPr="009D469E">
        <w:rPr>
          <w:color w:val="000000" w:themeColor="text1"/>
        </w:rPr>
        <w:t>The Phillips Curve: Back to the 1960s?</w:t>
      </w:r>
      <w:r w:rsidR="00065B7A">
        <w:rPr>
          <w:color w:val="000000" w:themeColor="text1"/>
        </w:rPr>
        <w:t>”</w:t>
      </w:r>
      <w:r w:rsidRPr="009D469E">
        <w:rPr>
          <w:color w:val="000000" w:themeColor="text1"/>
        </w:rPr>
        <w:t xml:space="preserve"> </w:t>
      </w:r>
      <w:r w:rsidRPr="009D469E">
        <w:rPr>
          <w:i/>
          <w:color w:val="000000" w:themeColor="text1"/>
        </w:rPr>
        <w:t>American Economic Review</w:t>
      </w:r>
      <w:r w:rsidRPr="009D469E">
        <w:rPr>
          <w:color w:val="000000" w:themeColor="text1"/>
        </w:rPr>
        <w:t>, 106(5),</w:t>
      </w:r>
      <w:r w:rsidR="00065B7A">
        <w:rPr>
          <w:color w:val="000000" w:themeColor="text1"/>
        </w:rPr>
        <w:t xml:space="preserve"> 2016</w:t>
      </w:r>
      <w:r w:rsidRPr="009D469E">
        <w:rPr>
          <w:color w:val="000000" w:themeColor="text1"/>
        </w:rPr>
        <w:t>, 31</w:t>
      </w:r>
      <w:r w:rsidRPr="009D469E">
        <w:t>–</w:t>
      </w:r>
      <w:r w:rsidRPr="009D469E">
        <w:rPr>
          <w:color w:val="000000" w:themeColor="text1"/>
        </w:rPr>
        <w:t>34.</w:t>
      </w:r>
    </w:p>
    <w:p w14:paraId="7581C112" w14:textId="3C2A6987" w:rsidR="006E67F5" w:rsidRPr="009D469E" w:rsidRDefault="006E67F5" w:rsidP="00741648">
      <w:pPr>
        <w:spacing w:line="360" w:lineRule="auto"/>
        <w:ind w:left="720" w:hanging="720"/>
        <w:contextualSpacing/>
        <w:rPr>
          <w:rFonts w:eastAsia="Times New Roman"/>
          <w:color w:val="000000" w:themeColor="text1"/>
        </w:rPr>
      </w:pPr>
      <w:r w:rsidRPr="009D469E">
        <w:rPr>
          <w:rFonts w:eastAsia="Times New Roman"/>
          <w:color w:val="000000" w:themeColor="text1"/>
        </w:rPr>
        <w:t xml:space="preserve">Blanchard, O. and J. Galí. </w:t>
      </w:r>
      <w:r w:rsidR="0098081B">
        <w:rPr>
          <w:rFonts w:eastAsia="Times New Roman"/>
          <w:color w:val="000000" w:themeColor="text1"/>
        </w:rPr>
        <w:t>“</w:t>
      </w:r>
      <w:r w:rsidRPr="009D469E">
        <w:rPr>
          <w:rFonts w:eastAsia="Times New Roman"/>
          <w:color w:val="000000" w:themeColor="text1"/>
        </w:rPr>
        <w:t>Real Wage Rigidities and the New Keynesian Model</w:t>
      </w:r>
      <w:r w:rsidR="0098081B">
        <w:rPr>
          <w:rFonts w:eastAsia="Times New Roman"/>
          <w:color w:val="000000" w:themeColor="text1"/>
        </w:rPr>
        <w:t>.”</w:t>
      </w:r>
      <w:r w:rsidRPr="009D469E">
        <w:rPr>
          <w:rFonts w:eastAsia="Times New Roman"/>
          <w:color w:val="000000" w:themeColor="text1"/>
        </w:rPr>
        <w:t xml:space="preserve"> </w:t>
      </w:r>
      <w:r w:rsidRPr="009D469E">
        <w:rPr>
          <w:rFonts w:eastAsia="Times New Roman"/>
          <w:i/>
          <w:iCs/>
          <w:color w:val="000000" w:themeColor="text1"/>
        </w:rPr>
        <w:t>Journal of Money, Credit, and Banking</w:t>
      </w:r>
      <w:r w:rsidRPr="009D469E">
        <w:rPr>
          <w:rFonts w:eastAsia="Times New Roman"/>
          <w:color w:val="000000" w:themeColor="text1"/>
        </w:rPr>
        <w:t xml:space="preserve">, 39(1), </w:t>
      </w:r>
      <w:r w:rsidR="0098081B" w:rsidRPr="009D469E">
        <w:rPr>
          <w:rFonts w:eastAsia="Times New Roman"/>
          <w:color w:val="000000" w:themeColor="text1"/>
        </w:rPr>
        <w:t>2007</w:t>
      </w:r>
      <w:r w:rsidRPr="009D469E">
        <w:rPr>
          <w:rFonts w:eastAsia="Times New Roman"/>
          <w:color w:val="000000" w:themeColor="text1"/>
        </w:rPr>
        <w:t>, 35</w:t>
      </w:r>
      <w:r w:rsidRPr="009D469E">
        <w:t>–</w:t>
      </w:r>
      <w:r w:rsidRPr="009D469E">
        <w:rPr>
          <w:rFonts w:eastAsia="Times New Roman"/>
          <w:color w:val="000000" w:themeColor="text1"/>
        </w:rPr>
        <w:t>65.</w:t>
      </w:r>
    </w:p>
    <w:p w14:paraId="1F236F93" w14:textId="421F46FF" w:rsidR="006E67F5" w:rsidRPr="009D469E" w:rsidRDefault="006E67F5" w:rsidP="00741648">
      <w:pPr>
        <w:spacing w:line="360" w:lineRule="auto"/>
        <w:ind w:left="720" w:hanging="720"/>
        <w:contextualSpacing/>
        <w:rPr>
          <w:color w:val="000000" w:themeColor="text1"/>
        </w:rPr>
      </w:pPr>
      <w:r w:rsidRPr="009D469E">
        <w:rPr>
          <w:color w:val="000000" w:themeColor="text1"/>
        </w:rPr>
        <w:t xml:space="preserve">Chappell, Henry W., Rob Roy McGregor, and Todd A. Vermilyea. </w:t>
      </w:r>
      <w:r w:rsidRPr="009D469E">
        <w:rPr>
          <w:i/>
          <w:color w:val="000000" w:themeColor="text1"/>
        </w:rPr>
        <w:t>Committee Decisions on Monetary Policy: Evidence from Historical Records of the Federal Open Market Committee</w:t>
      </w:r>
      <w:r w:rsidRPr="009D469E">
        <w:rPr>
          <w:color w:val="000000" w:themeColor="text1"/>
        </w:rPr>
        <w:t>. Cambridge, MA: MIT Press</w:t>
      </w:r>
      <w:r w:rsidR="00DC60FD">
        <w:rPr>
          <w:color w:val="000000" w:themeColor="text1"/>
        </w:rPr>
        <w:t xml:space="preserve">, </w:t>
      </w:r>
      <w:r w:rsidR="00DC60FD" w:rsidRPr="009D469E">
        <w:rPr>
          <w:color w:val="000000" w:themeColor="text1"/>
        </w:rPr>
        <w:t>2005</w:t>
      </w:r>
      <w:r w:rsidRPr="009D469E">
        <w:rPr>
          <w:color w:val="000000" w:themeColor="text1"/>
        </w:rPr>
        <w:t>.</w:t>
      </w:r>
    </w:p>
    <w:p w14:paraId="46C02DC9" w14:textId="21A42E3C" w:rsidR="006E67F5" w:rsidRPr="009D469E" w:rsidRDefault="006E67F5" w:rsidP="00741648">
      <w:pPr>
        <w:spacing w:line="360" w:lineRule="auto"/>
        <w:ind w:left="720" w:hanging="720"/>
        <w:contextualSpacing/>
        <w:rPr>
          <w:color w:val="000000" w:themeColor="text1"/>
        </w:rPr>
      </w:pPr>
      <w:r w:rsidRPr="009D469E">
        <w:rPr>
          <w:rFonts w:eastAsia="Times New Roman"/>
          <w:color w:val="000000" w:themeColor="text1"/>
        </w:rPr>
        <w:t xml:space="preserve">Clarida, Richard, Jordi Gali, and Mark Gertler. </w:t>
      </w:r>
      <w:r w:rsidR="008F0B14">
        <w:rPr>
          <w:rFonts w:eastAsia="Times New Roman"/>
          <w:color w:val="000000" w:themeColor="text1"/>
        </w:rPr>
        <w:t>“</w:t>
      </w:r>
      <w:r w:rsidRPr="009D469E">
        <w:rPr>
          <w:rFonts w:eastAsia="Times New Roman"/>
          <w:color w:val="000000" w:themeColor="text1"/>
        </w:rPr>
        <w:t>The Science of Monetary Policy</w:t>
      </w:r>
      <w:r w:rsidR="008F0B14">
        <w:rPr>
          <w:rFonts w:eastAsia="Times New Roman"/>
          <w:color w:val="000000" w:themeColor="text1"/>
        </w:rPr>
        <w:t>.”</w:t>
      </w:r>
      <w:r w:rsidRPr="009D469E">
        <w:rPr>
          <w:rFonts w:eastAsia="Times New Roman"/>
          <w:color w:val="000000" w:themeColor="text1"/>
        </w:rPr>
        <w:t xml:space="preserve"> </w:t>
      </w:r>
      <w:r w:rsidRPr="009D469E">
        <w:rPr>
          <w:rFonts w:eastAsia="Times New Roman"/>
          <w:i/>
          <w:color w:val="000000" w:themeColor="text1"/>
        </w:rPr>
        <w:t>Journal of Economic Literature</w:t>
      </w:r>
      <w:r w:rsidRPr="009D469E">
        <w:rPr>
          <w:rFonts w:eastAsia="Times New Roman"/>
          <w:color w:val="000000" w:themeColor="text1"/>
        </w:rPr>
        <w:t xml:space="preserve">, 37(4), </w:t>
      </w:r>
      <w:r w:rsidR="008F0B14" w:rsidRPr="009D469E">
        <w:rPr>
          <w:rFonts w:eastAsia="Times New Roman"/>
          <w:color w:val="000000" w:themeColor="text1"/>
        </w:rPr>
        <w:t>1999</w:t>
      </w:r>
      <w:r w:rsidRPr="009D469E">
        <w:rPr>
          <w:rFonts w:eastAsia="Times New Roman"/>
          <w:color w:val="000000" w:themeColor="text1"/>
        </w:rPr>
        <w:t>, 1661–1707.</w:t>
      </w:r>
      <w:r w:rsidRPr="009D469E">
        <w:rPr>
          <w:color w:val="000000" w:themeColor="text1"/>
        </w:rPr>
        <w:t xml:space="preserve"> </w:t>
      </w:r>
    </w:p>
    <w:p w14:paraId="55A94C3D" w14:textId="6196824A" w:rsidR="006E67F5" w:rsidRPr="009D469E" w:rsidRDefault="006E67F5" w:rsidP="00741648">
      <w:pPr>
        <w:spacing w:line="360" w:lineRule="auto"/>
        <w:ind w:left="720" w:hanging="720"/>
        <w:contextualSpacing/>
        <w:rPr>
          <w:color w:val="000000" w:themeColor="text1"/>
        </w:rPr>
      </w:pPr>
      <w:r w:rsidRPr="009D469E">
        <w:rPr>
          <w:color w:val="000000" w:themeColor="text1"/>
        </w:rPr>
        <w:t xml:space="preserve">DeLong, Bradford. </w:t>
      </w:r>
      <w:r w:rsidR="005749D9">
        <w:rPr>
          <w:color w:val="000000" w:themeColor="text1"/>
        </w:rPr>
        <w:t>“</w:t>
      </w:r>
      <w:r w:rsidRPr="009D469E">
        <w:rPr>
          <w:color w:val="000000" w:themeColor="text1"/>
        </w:rPr>
        <w:t>America’s Only Peacetime Inflation: the 1970s</w:t>
      </w:r>
      <w:r w:rsidR="005749D9">
        <w:rPr>
          <w:color w:val="000000" w:themeColor="text1"/>
        </w:rPr>
        <w:t>”</w:t>
      </w:r>
      <w:r w:rsidRPr="009D469E">
        <w:rPr>
          <w:color w:val="000000" w:themeColor="text1"/>
        </w:rPr>
        <w:t xml:space="preserve"> In </w:t>
      </w:r>
      <w:r w:rsidRPr="009D469E">
        <w:rPr>
          <w:rFonts w:eastAsia="Times New Roman"/>
          <w:i/>
          <w:color w:val="000000" w:themeColor="text1"/>
        </w:rPr>
        <w:t>Reducing Inflation: Motivation and Strategy</w:t>
      </w:r>
      <w:r w:rsidR="006B728B">
        <w:rPr>
          <w:rFonts w:eastAsia="Times New Roman"/>
          <w:color w:val="000000" w:themeColor="text1"/>
        </w:rPr>
        <w:t xml:space="preserve">, edited by </w:t>
      </w:r>
      <w:r w:rsidR="006B728B" w:rsidRPr="009D469E">
        <w:rPr>
          <w:rFonts w:eastAsia="Times New Roman"/>
          <w:color w:val="000000" w:themeColor="text1"/>
        </w:rPr>
        <w:t>C. Romer and D. Romer</w:t>
      </w:r>
      <w:r w:rsidRPr="009D469E">
        <w:rPr>
          <w:rFonts w:eastAsia="Times New Roman"/>
          <w:color w:val="000000" w:themeColor="text1"/>
        </w:rPr>
        <w:t>. Chicago: University of Chicago Press</w:t>
      </w:r>
      <w:r w:rsidR="005749D9">
        <w:rPr>
          <w:rFonts w:eastAsia="Times New Roman"/>
          <w:color w:val="000000" w:themeColor="text1"/>
        </w:rPr>
        <w:t xml:space="preserve">, </w:t>
      </w:r>
      <w:r w:rsidR="005749D9" w:rsidRPr="009D469E">
        <w:rPr>
          <w:color w:val="000000" w:themeColor="text1"/>
        </w:rPr>
        <w:t>1997</w:t>
      </w:r>
      <w:r w:rsidRPr="009D469E">
        <w:rPr>
          <w:rFonts w:eastAsia="Times New Roman"/>
          <w:color w:val="000000" w:themeColor="text1"/>
        </w:rPr>
        <w:t>.</w:t>
      </w:r>
    </w:p>
    <w:p w14:paraId="5ADEA04B" w14:textId="7044C90E" w:rsidR="006E67F5" w:rsidRPr="009D469E" w:rsidRDefault="006E67F5" w:rsidP="00741648">
      <w:pPr>
        <w:spacing w:line="360" w:lineRule="auto"/>
        <w:ind w:left="720" w:hanging="720"/>
        <w:contextualSpacing/>
        <w:rPr>
          <w:color w:val="000000" w:themeColor="text1"/>
        </w:rPr>
      </w:pPr>
      <w:r w:rsidRPr="009D469E">
        <w:rPr>
          <w:color w:val="000000" w:themeColor="text1"/>
        </w:rPr>
        <w:t xml:space="preserve">Eichengreen, Barry. </w:t>
      </w:r>
      <w:r w:rsidR="00BC5037">
        <w:rPr>
          <w:color w:val="000000" w:themeColor="text1"/>
        </w:rPr>
        <w:t>“</w:t>
      </w:r>
      <w:r w:rsidRPr="009D469E">
        <w:rPr>
          <w:color w:val="000000" w:themeColor="text1"/>
        </w:rPr>
        <w:t>Economic History and Economic Policy</w:t>
      </w:r>
      <w:r w:rsidR="00BC5037">
        <w:rPr>
          <w:color w:val="000000" w:themeColor="text1"/>
        </w:rPr>
        <w:t>.”</w:t>
      </w:r>
      <w:r w:rsidRPr="009D469E">
        <w:rPr>
          <w:color w:val="000000" w:themeColor="text1"/>
        </w:rPr>
        <w:t xml:space="preserve"> </w:t>
      </w:r>
      <w:r w:rsidRPr="009D469E">
        <w:rPr>
          <w:i/>
          <w:color w:val="000000" w:themeColor="text1"/>
        </w:rPr>
        <w:t>The Journal of Economic History</w:t>
      </w:r>
      <w:r w:rsidRPr="009D469E">
        <w:rPr>
          <w:color w:val="000000" w:themeColor="text1"/>
        </w:rPr>
        <w:t xml:space="preserve">, 72(2), </w:t>
      </w:r>
      <w:r w:rsidR="00BC5037" w:rsidRPr="009D469E">
        <w:rPr>
          <w:color w:val="000000" w:themeColor="text1"/>
        </w:rPr>
        <w:t>2012</w:t>
      </w:r>
      <w:r w:rsidRPr="009D469E">
        <w:rPr>
          <w:color w:val="000000" w:themeColor="text1"/>
        </w:rPr>
        <w:t>, 289</w:t>
      </w:r>
      <w:r w:rsidRPr="009D469E">
        <w:t>–</w:t>
      </w:r>
      <w:r w:rsidRPr="009D469E">
        <w:rPr>
          <w:color w:val="000000" w:themeColor="text1"/>
        </w:rPr>
        <w:t>307.</w:t>
      </w:r>
    </w:p>
    <w:p w14:paraId="29B838CF" w14:textId="561D0FEA" w:rsidR="006E67F5" w:rsidRDefault="006E67F5" w:rsidP="00741648">
      <w:pPr>
        <w:spacing w:line="360" w:lineRule="auto"/>
        <w:ind w:left="720" w:hanging="720"/>
        <w:contextualSpacing/>
      </w:pPr>
      <w:r w:rsidRPr="009D469E">
        <w:t xml:space="preserve">English, William B., William R. Nelson, and Brian P. Sack. </w:t>
      </w:r>
      <w:r w:rsidR="00CE0FB8">
        <w:t>“</w:t>
      </w:r>
      <w:r w:rsidRPr="009D469E">
        <w:t>Interpreting the Significance of the Lagged Interest Rate in Estimated Monetary Policy Rules</w:t>
      </w:r>
      <w:r w:rsidR="00CE0FB8">
        <w:t>.”</w:t>
      </w:r>
      <w:r w:rsidRPr="009D469E">
        <w:t xml:space="preserve"> </w:t>
      </w:r>
      <w:r w:rsidRPr="009D469E">
        <w:rPr>
          <w:i/>
        </w:rPr>
        <w:t>The B.E. Journal of Macroeconomics</w:t>
      </w:r>
      <w:r w:rsidRPr="009D469E">
        <w:t xml:space="preserve">, 3(1), </w:t>
      </w:r>
      <w:r w:rsidR="00CE0FB8" w:rsidRPr="009D469E">
        <w:t>2003</w:t>
      </w:r>
      <w:r w:rsidRPr="009D469E">
        <w:t>, 1–18.</w:t>
      </w:r>
    </w:p>
    <w:p w14:paraId="6A4B60D1" w14:textId="58470306" w:rsidR="00917E47" w:rsidRPr="009D469E" w:rsidRDefault="00917E47" w:rsidP="00BC06E6">
      <w:pPr>
        <w:spacing w:line="360" w:lineRule="auto"/>
        <w:ind w:left="720" w:hanging="720"/>
        <w:contextualSpacing/>
        <w:jc w:val="left"/>
        <w:rPr>
          <w:color w:val="000000" w:themeColor="text1"/>
        </w:rPr>
      </w:pPr>
      <w:r>
        <w:rPr>
          <w:color w:val="000000" w:themeColor="text1"/>
        </w:rPr>
        <w:t xml:space="preserve">Ericsson, Neil. </w:t>
      </w:r>
      <w:r w:rsidR="00F24083">
        <w:rPr>
          <w:color w:val="000000" w:themeColor="text1"/>
        </w:rPr>
        <w:t>“</w:t>
      </w:r>
      <w:r>
        <w:rPr>
          <w:color w:val="000000" w:themeColor="text1"/>
        </w:rPr>
        <w:t>Predicting Fed Forecasts</w:t>
      </w:r>
      <w:r w:rsidR="00F24083">
        <w:rPr>
          <w:color w:val="000000" w:themeColor="text1"/>
        </w:rPr>
        <w:t>.”</w:t>
      </w:r>
      <w:r>
        <w:rPr>
          <w:color w:val="000000" w:themeColor="text1"/>
        </w:rPr>
        <w:t xml:space="preserve"> </w:t>
      </w:r>
      <w:r w:rsidRPr="00BC06E6">
        <w:rPr>
          <w:i/>
          <w:color w:val="000000" w:themeColor="text1"/>
        </w:rPr>
        <w:t>IFDP Notes</w:t>
      </w:r>
      <w:r>
        <w:rPr>
          <w:color w:val="000000" w:themeColor="text1"/>
        </w:rPr>
        <w:t>, Board of Governors of the Federal Reserve System</w:t>
      </w:r>
      <w:r w:rsidR="00F24083">
        <w:rPr>
          <w:color w:val="000000" w:themeColor="text1"/>
        </w:rPr>
        <w:t>, 2016</w:t>
      </w:r>
      <w:r>
        <w:rPr>
          <w:color w:val="000000" w:themeColor="text1"/>
        </w:rPr>
        <w:t xml:space="preserve">. </w:t>
      </w:r>
      <w:r w:rsidRPr="00917E47">
        <w:rPr>
          <w:color w:val="000000" w:themeColor="text1"/>
        </w:rPr>
        <w:t>https://www.federalreserve.gov/econresdata/notes/ifdp-notes/2016/predicting-fed-forecasts-20160212.html</w:t>
      </w:r>
      <w:r>
        <w:rPr>
          <w:color w:val="000000" w:themeColor="text1"/>
        </w:rPr>
        <w:t>.</w:t>
      </w:r>
    </w:p>
    <w:p w14:paraId="1B6835B1" w14:textId="68F27337" w:rsidR="006E67F5" w:rsidRPr="009D469E" w:rsidRDefault="006E67F5" w:rsidP="00741648">
      <w:pPr>
        <w:spacing w:line="360" w:lineRule="auto"/>
        <w:ind w:left="720" w:hanging="720"/>
        <w:contextualSpacing/>
        <w:rPr>
          <w:color w:val="000000" w:themeColor="text1"/>
        </w:rPr>
      </w:pPr>
      <w:r w:rsidRPr="009D469E">
        <w:rPr>
          <w:color w:val="000000" w:themeColor="text1"/>
        </w:rPr>
        <w:t xml:space="preserve">Friedman, Milton. </w:t>
      </w:r>
      <w:r w:rsidR="00210FB9">
        <w:rPr>
          <w:color w:val="000000" w:themeColor="text1"/>
        </w:rPr>
        <w:t>“</w:t>
      </w:r>
      <w:r w:rsidRPr="009D469E">
        <w:rPr>
          <w:color w:val="000000" w:themeColor="text1"/>
        </w:rPr>
        <w:t>The Role of Monetary Policy</w:t>
      </w:r>
      <w:r w:rsidR="00210FB9">
        <w:rPr>
          <w:color w:val="000000" w:themeColor="text1"/>
        </w:rPr>
        <w:t>.”</w:t>
      </w:r>
      <w:r w:rsidRPr="009D469E">
        <w:rPr>
          <w:color w:val="000000" w:themeColor="text1"/>
        </w:rPr>
        <w:t xml:space="preserve"> </w:t>
      </w:r>
      <w:r w:rsidRPr="009D469E">
        <w:rPr>
          <w:i/>
          <w:color w:val="000000" w:themeColor="text1"/>
        </w:rPr>
        <w:t>American Economic Review</w:t>
      </w:r>
      <w:r w:rsidRPr="009D469E">
        <w:rPr>
          <w:color w:val="000000" w:themeColor="text1"/>
        </w:rPr>
        <w:t xml:space="preserve">, 58(1), </w:t>
      </w:r>
      <w:r w:rsidR="00210FB9" w:rsidRPr="009D469E">
        <w:rPr>
          <w:color w:val="000000" w:themeColor="text1"/>
        </w:rPr>
        <w:t>1968</w:t>
      </w:r>
      <w:r w:rsidRPr="009D469E">
        <w:rPr>
          <w:color w:val="000000" w:themeColor="text1"/>
        </w:rPr>
        <w:t>, 1</w:t>
      </w:r>
      <w:r w:rsidRPr="009D469E">
        <w:t>–</w:t>
      </w:r>
      <w:r w:rsidRPr="009D469E">
        <w:rPr>
          <w:color w:val="000000" w:themeColor="text1"/>
        </w:rPr>
        <w:t>17.</w:t>
      </w:r>
    </w:p>
    <w:p w14:paraId="07E08EA3" w14:textId="383AEE08" w:rsidR="006E67F5" w:rsidRPr="009D469E" w:rsidRDefault="006E67F5" w:rsidP="00741648">
      <w:pPr>
        <w:spacing w:line="360" w:lineRule="auto"/>
        <w:ind w:left="720" w:hanging="720"/>
        <w:contextualSpacing/>
        <w:rPr>
          <w:color w:val="000000" w:themeColor="text1"/>
        </w:rPr>
      </w:pPr>
      <w:r w:rsidRPr="009D469E">
        <w:rPr>
          <w:color w:val="000000" w:themeColor="text1"/>
        </w:rPr>
        <w:t xml:space="preserve">Friedman, Milton and Anna Schwartz. </w:t>
      </w:r>
      <w:r w:rsidRPr="009D469E">
        <w:rPr>
          <w:i/>
          <w:color w:val="000000" w:themeColor="text1"/>
        </w:rPr>
        <w:t>A Monetary History of the United States</w:t>
      </w:r>
      <w:r w:rsidRPr="009D469E">
        <w:rPr>
          <w:color w:val="000000" w:themeColor="text1"/>
        </w:rPr>
        <w:t>. National Bureau of Economic Research</w:t>
      </w:r>
      <w:r w:rsidR="000A6936">
        <w:rPr>
          <w:color w:val="000000" w:themeColor="text1"/>
        </w:rPr>
        <w:t xml:space="preserve">, </w:t>
      </w:r>
      <w:r w:rsidR="000A6936" w:rsidRPr="009D469E">
        <w:rPr>
          <w:color w:val="000000" w:themeColor="text1"/>
        </w:rPr>
        <w:t>1963</w:t>
      </w:r>
      <w:r w:rsidRPr="009D469E">
        <w:rPr>
          <w:color w:val="000000" w:themeColor="text1"/>
        </w:rPr>
        <w:t>.</w:t>
      </w:r>
    </w:p>
    <w:p w14:paraId="4A19F74C" w14:textId="5551836D" w:rsidR="00014488" w:rsidRPr="009D469E" w:rsidRDefault="00350A24" w:rsidP="00741648">
      <w:pPr>
        <w:spacing w:line="360" w:lineRule="auto"/>
        <w:ind w:left="720" w:hanging="720"/>
        <w:contextualSpacing/>
        <w:rPr>
          <w:rFonts w:eastAsia="Times New Roman"/>
          <w:color w:val="000000" w:themeColor="text1"/>
        </w:rPr>
      </w:pPr>
      <w:r w:rsidRPr="009D469E">
        <w:rPr>
          <w:rFonts w:eastAsia="Times New Roman"/>
          <w:color w:val="000000" w:themeColor="text1"/>
          <w:shd w:val="clear" w:color="auto" w:fill="FFFFFF"/>
        </w:rPr>
        <w:t xml:space="preserve">Gardner, Joseph and John T. Woolley. </w:t>
      </w:r>
      <w:r w:rsidR="0088152D">
        <w:rPr>
          <w:rFonts w:eastAsia="Times New Roman"/>
          <w:color w:val="000000" w:themeColor="text1"/>
          <w:shd w:val="clear" w:color="auto" w:fill="FFFFFF"/>
        </w:rPr>
        <w:t>“</w:t>
      </w:r>
      <w:r w:rsidRPr="009D469E">
        <w:rPr>
          <w:rFonts w:eastAsia="Times New Roman"/>
          <w:color w:val="000000" w:themeColor="text1"/>
          <w:shd w:val="clear" w:color="auto" w:fill="FFFFFF"/>
        </w:rPr>
        <w:t>Measuring Deliberative Conditions: An Analysis of Participant Freedom and Equality in Federal Open Market Committee Deliberation</w:t>
      </w:r>
      <w:r w:rsidR="0088152D">
        <w:rPr>
          <w:rFonts w:eastAsia="Times New Roman"/>
          <w:color w:val="000000" w:themeColor="text1"/>
          <w:shd w:val="clear" w:color="auto" w:fill="FFFFFF"/>
        </w:rPr>
        <w:t>.”</w:t>
      </w:r>
      <w:r w:rsidRPr="009D469E">
        <w:rPr>
          <w:rFonts w:eastAsia="Times New Roman"/>
          <w:color w:val="000000" w:themeColor="text1"/>
          <w:shd w:val="clear" w:color="auto" w:fill="FFFFFF"/>
        </w:rPr>
        <w:t xml:space="preserve"> </w:t>
      </w:r>
      <w:r w:rsidRPr="009D469E">
        <w:rPr>
          <w:rFonts w:eastAsia="Times New Roman"/>
          <w:i/>
          <w:iCs/>
          <w:color w:val="000000" w:themeColor="text1"/>
          <w:shd w:val="clear" w:color="auto" w:fill="FFFFFF"/>
        </w:rPr>
        <w:t>Political Research Quarterly</w:t>
      </w:r>
      <w:r w:rsidRPr="009D469E">
        <w:rPr>
          <w:rFonts w:eastAsia="Times New Roman"/>
          <w:color w:val="000000" w:themeColor="text1"/>
          <w:shd w:val="clear" w:color="auto" w:fill="FFFFFF"/>
        </w:rPr>
        <w:t>, 69(3)</w:t>
      </w:r>
      <w:r w:rsidR="0088152D">
        <w:rPr>
          <w:rFonts w:eastAsia="Times New Roman"/>
          <w:color w:val="000000" w:themeColor="text1"/>
          <w:shd w:val="clear" w:color="auto" w:fill="FFFFFF"/>
        </w:rPr>
        <w:t xml:space="preserve">, </w:t>
      </w:r>
      <w:r w:rsidR="0088152D" w:rsidRPr="009D469E">
        <w:rPr>
          <w:rFonts w:eastAsia="Times New Roman"/>
          <w:color w:val="000000" w:themeColor="text1"/>
          <w:shd w:val="clear" w:color="auto" w:fill="FFFFFF"/>
        </w:rPr>
        <w:t>2016</w:t>
      </w:r>
      <w:r w:rsidR="0088152D">
        <w:rPr>
          <w:rFonts w:eastAsia="Times New Roman"/>
          <w:color w:val="000000" w:themeColor="text1"/>
          <w:shd w:val="clear" w:color="auto" w:fill="FFFFFF"/>
        </w:rPr>
        <w:t>,</w:t>
      </w:r>
      <w:r>
        <w:rPr>
          <w:rFonts w:eastAsia="Times New Roman"/>
          <w:color w:val="000000" w:themeColor="text1"/>
          <w:shd w:val="clear" w:color="auto" w:fill="FFFFFF"/>
        </w:rPr>
        <w:t xml:space="preserve"> </w:t>
      </w:r>
      <w:r w:rsidRPr="009D469E">
        <w:rPr>
          <w:rFonts w:eastAsia="Times New Roman"/>
          <w:color w:val="000000" w:themeColor="text1"/>
          <w:shd w:val="clear" w:color="auto" w:fill="FFFFFF"/>
        </w:rPr>
        <w:t>594</w:t>
      </w:r>
      <w:r w:rsidRPr="009D469E">
        <w:t>–</w:t>
      </w:r>
      <w:r w:rsidRPr="009D469E">
        <w:rPr>
          <w:rFonts w:eastAsia="Times New Roman"/>
          <w:color w:val="000000" w:themeColor="text1"/>
          <w:shd w:val="clear" w:color="auto" w:fill="FFFFFF"/>
        </w:rPr>
        <w:t>605.</w:t>
      </w:r>
    </w:p>
    <w:p w14:paraId="581C208F" w14:textId="1C04B959" w:rsidR="00014488" w:rsidRDefault="00014488" w:rsidP="00741648">
      <w:pPr>
        <w:spacing w:line="360" w:lineRule="auto"/>
        <w:ind w:left="720" w:hanging="720"/>
        <w:contextualSpacing/>
        <w:rPr>
          <w:color w:val="000000" w:themeColor="text1"/>
        </w:rPr>
      </w:pPr>
      <w:r w:rsidRPr="00741648">
        <w:rPr>
          <w:color w:val="000000" w:themeColor="text1"/>
        </w:rPr>
        <w:lastRenderedPageBreak/>
        <w:t xml:space="preserve">Golub, Stephen, Ayse Kaya, and Michael Reay. </w:t>
      </w:r>
      <w:r w:rsidR="0081499D">
        <w:rPr>
          <w:color w:val="000000" w:themeColor="text1"/>
        </w:rPr>
        <w:t>“</w:t>
      </w:r>
      <w:r w:rsidRPr="00741648">
        <w:rPr>
          <w:color w:val="000000" w:themeColor="text1"/>
        </w:rPr>
        <w:t>What Were They Thinking: The Federal Reserve in the Run-Up to the 2008 Financial Crisis</w:t>
      </w:r>
      <w:r w:rsidR="0081499D">
        <w:rPr>
          <w:color w:val="000000" w:themeColor="text1"/>
        </w:rPr>
        <w:t>.”</w:t>
      </w:r>
      <w:r w:rsidRPr="00741648">
        <w:rPr>
          <w:color w:val="000000" w:themeColor="text1"/>
        </w:rPr>
        <w:t xml:space="preserve"> </w:t>
      </w:r>
      <w:r w:rsidRPr="00741648">
        <w:rPr>
          <w:i/>
          <w:color w:val="000000" w:themeColor="text1"/>
        </w:rPr>
        <w:t>Review of International Political Economy</w:t>
      </w:r>
      <w:r w:rsidRPr="00741648">
        <w:rPr>
          <w:color w:val="000000" w:themeColor="text1"/>
        </w:rPr>
        <w:t>, 22(4)</w:t>
      </w:r>
      <w:r w:rsidR="0081499D">
        <w:rPr>
          <w:color w:val="000000" w:themeColor="text1"/>
        </w:rPr>
        <w:t xml:space="preserve">, </w:t>
      </w:r>
      <w:r w:rsidR="0081499D" w:rsidRPr="00741648">
        <w:rPr>
          <w:color w:val="000000" w:themeColor="text1"/>
        </w:rPr>
        <w:t>2014</w:t>
      </w:r>
      <w:r w:rsidRPr="00741648">
        <w:rPr>
          <w:color w:val="000000" w:themeColor="text1"/>
        </w:rPr>
        <w:t>, 657</w:t>
      </w:r>
      <w:r w:rsidRPr="00741648">
        <w:t>–</w:t>
      </w:r>
      <w:r w:rsidRPr="00741648">
        <w:rPr>
          <w:color w:val="000000" w:themeColor="text1"/>
        </w:rPr>
        <w:t>692.</w:t>
      </w:r>
    </w:p>
    <w:p w14:paraId="2E473546" w14:textId="55527096" w:rsidR="008A4EA7" w:rsidRDefault="002F3182" w:rsidP="00BC06E6">
      <w:pPr>
        <w:spacing w:line="240" w:lineRule="auto"/>
        <w:ind w:firstLine="0"/>
        <w:jc w:val="left"/>
        <w:rPr>
          <w:rFonts w:eastAsia="Times New Roman"/>
        </w:rPr>
      </w:pPr>
      <w:r w:rsidRPr="00C00925">
        <w:rPr>
          <w:color w:val="000000" w:themeColor="text1"/>
        </w:rPr>
        <w:t xml:space="preserve">IMF </w:t>
      </w:r>
      <w:r w:rsidR="008A4EA7" w:rsidRPr="00C00925">
        <w:rPr>
          <w:rFonts w:eastAsia="Times New Roman"/>
        </w:rPr>
        <w:t>World Economic Outlook</w:t>
      </w:r>
      <w:r w:rsidR="008A4EA7" w:rsidRPr="008A4EA7">
        <w:rPr>
          <w:rFonts w:eastAsia="Times New Roman"/>
        </w:rPr>
        <w:t>, April 2013</w:t>
      </w:r>
      <w:r w:rsidR="008A4EA7">
        <w:rPr>
          <w:rFonts w:eastAsia="Times New Roman"/>
        </w:rPr>
        <w:t xml:space="preserve">, Chapter 3, </w:t>
      </w:r>
      <w:r w:rsidR="00DD6B7D">
        <w:rPr>
          <w:rFonts w:eastAsia="Times New Roman"/>
        </w:rPr>
        <w:t>“</w:t>
      </w:r>
      <w:r w:rsidR="008A4EA7" w:rsidRPr="008A4EA7">
        <w:rPr>
          <w:rFonts w:eastAsia="Times New Roman"/>
        </w:rPr>
        <w:t>The Dog that Didn't Bark</w:t>
      </w:r>
      <w:r w:rsidR="008A4EA7">
        <w:rPr>
          <w:rFonts w:eastAsia="Times New Roman"/>
        </w:rPr>
        <w:t>.</w:t>
      </w:r>
      <w:r w:rsidR="00DD6B7D">
        <w:rPr>
          <w:rFonts w:eastAsia="Times New Roman"/>
        </w:rPr>
        <w:t>”</w:t>
      </w:r>
      <w:r w:rsidR="008A4EA7" w:rsidRPr="008A4EA7">
        <w:rPr>
          <w:rFonts w:eastAsia="Times New Roman"/>
        </w:rPr>
        <w:t xml:space="preserve"> </w:t>
      </w:r>
    </w:p>
    <w:p w14:paraId="6A3D0DF5" w14:textId="5387A3C4" w:rsidR="002F3182" w:rsidRPr="00BC06E6" w:rsidRDefault="002F3182" w:rsidP="00BC06E6">
      <w:pPr>
        <w:spacing w:line="240" w:lineRule="auto"/>
        <w:ind w:firstLine="0"/>
        <w:jc w:val="left"/>
        <w:rPr>
          <w:rFonts w:eastAsia="Times New Roman"/>
        </w:rPr>
      </w:pPr>
    </w:p>
    <w:p w14:paraId="4CCCB3B1" w14:textId="5E6242F4" w:rsidR="006E67F5" w:rsidRPr="009D469E" w:rsidRDefault="006E67F5" w:rsidP="00741648">
      <w:pPr>
        <w:spacing w:line="360" w:lineRule="auto"/>
        <w:ind w:left="720" w:hanging="720"/>
        <w:contextualSpacing/>
        <w:rPr>
          <w:rFonts w:eastAsia="Times New Roman"/>
          <w:color w:val="000000" w:themeColor="text1"/>
        </w:rPr>
      </w:pPr>
      <w:r w:rsidRPr="009D469E">
        <w:rPr>
          <w:rFonts w:eastAsia="Times New Roman"/>
          <w:color w:val="000000" w:themeColor="text1"/>
        </w:rPr>
        <w:t xml:space="preserve">Kahneman, Daniel and Amos Tversky. </w:t>
      </w:r>
      <w:r w:rsidR="00AA3A82">
        <w:rPr>
          <w:rFonts w:eastAsia="Times New Roman"/>
          <w:color w:val="000000" w:themeColor="text1"/>
        </w:rPr>
        <w:t>“</w:t>
      </w:r>
      <w:r w:rsidRPr="009D469E">
        <w:rPr>
          <w:rFonts w:eastAsia="Times New Roman"/>
          <w:color w:val="000000" w:themeColor="text1"/>
        </w:rPr>
        <w:t>Prospect Theory: An Analysis of Decision under Risk</w:t>
      </w:r>
      <w:r w:rsidR="00AA3A82">
        <w:rPr>
          <w:rFonts w:eastAsia="Times New Roman"/>
          <w:color w:val="000000" w:themeColor="text1"/>
        </w:rPr>
        <w:t>.”</w:t>
      </w:r>
      <w:r w:rsidRPr="009D469E">
        <w:rPr>
          <w:rFonts w:eastAsia="Times New Roman"/>
          <w:color w:val="000000" w:themeColor="text1"/>
        </w:rPr>
        <w:t xml:space="preserve"> </w:t>
      </w:r>
      <w:r w:rsidRPr="009D469E">
        <w:rPr>
          <w:rFonts w:eastAsia="Times New Roman"/>
          <w:i/>
          <w:iCs/>
          <w:color w:val="000000" w:themeColor="text1"/>
        </w:rPr>
        <w:t>Econometrica</w:t>
      </w:r>
      <w:r w:rsidRPr="009D469E">
        <w:rPr>
          <w:rFonts w:eastAsia="Times New Roman"/>
          <w:color w:val="000000" w:themeColor="text1"/>
        </w:rPr>
        <w:t xml:space="preserve">, 47(2), </w:t>
      </w:r>
      <w:r w:rsidR="00AA3A82" w:rsidRPr="009D469E">
        <w:rPr>
          <w:rFonts w:eastAsia="Times New Roman"/>
          <w:color w:val="000000" w:themeColor="text1"/>
        </w:rPr>
        <w:t>1979</w:t>
      </w:r>
      <w:r w:rsidRPr="009D469E">
        <w:rPr>
          <w:rFonts w:eastAsia="Times New Roman"/>
          <w:color w:val="000000" w:themeColor="text1"/>
        </w:rPr>
        <w:t>, 263</w:t>
      </w:r>
      <w:r w:rsidRPr="009D469E">
        <w:t>–</w:t>
      </w:r>
      <w:r w:rsidRPr="009D469E">
        <w:rPr>
          <w:rFonts w:eastAsia="Times New Roman"/>
          <w:color w:val="000000" w:themeColor="text1"/>
        </w:rPr>
        <w:t>292.</w:t>
      </w:r>
    </w:p>
    <w:p w14:paraId="64167B25" w14:textId="28F875D7" w:rsidR="006E67F5" w:rsidRPr="009D469E" w:rsidRDefault="006E67F5" w:rsidP="00741648">
      <w:pPr>
        <w:spacing w:line="360" w:lineRule="auto"/>
        <w:ind w:left="720" w:hanging="720"/>
        <w:contextualSpacing/>
      </w:pPr>
      <w:r w:rsidRPr="009D469E">
        <w:t xml:space="preserve">King, Mervyn. </w:t>
      </w:r>
      <w:r w:rsidR="002B1E38">
        <w:t>“</w:t>
      </w:r>
      <w:r w:rsidRPr="009D469E">
        <w:t>Monetary Policy: Practice Ahead of Theory (Mais Lecture 2005)</w:t>
      </w:r>
      <w:r w:rsidR="002B1E38">
        <w:t>.”</w:t>
      </w:r>
      <w:r w:rsidRPr="009D469E">
        <w:t xml:space="preserve"> </w:t>
      </w:r>
      <w:r w:rsidR="00503E3A">
        <w:t>Lecture a</w:t>
      </w:r>
      <w:r w:rsidRPr="009D469E">
        <w:t>t the Cass Business School, City University, London</w:t>
      </w:r>
      <w:r w:rsidR="00992F0E">
        <w:t xml:space="preserve">, </w:t>
      </w:r>
      <w:r w:rsidR="00992F0E" w:rsidRPr="009D469E">
        <w:t>2005</w:t>
      </w:r>
      <w:r w:rsidRPr="009D469E">
        <w:t>.</w:t>
      </w:r>
    </w:p>
    <w:p w14:paraId="4D7F1F38" w14:textId="23BC01BD" w:rsidR="006E67F5" w:rsidRPr="009D469E" w:rsidRDefault="006E67F5" w:rsidP="00741648">
      <w:pPr>
        <w:spacing w:line="360" w:lineRule="auto"/>
        <w:ind w:left="720" w:hanging="720"/>
        <w:contextualSpacing/>
        <w:rPr>
          <w:color w:val="000000" w:themeColor="text1"/>
        </w:rPr>
      </w:pPr>
      <w:r w:rsidRPr="009D469E">
        <w:rPr>
          <w:color w:val="000000" w:themeColor="text1"/>
        </w:rPr>
        <w:t>Kydland, Finn E. and Edward C. Prescott</w:t>
      </w:r>
      <w:r w:rsidR="00144A5B">
        <w:rPr>
          <w:color w:val="000000" w:themeColor="text1"/>
        </w:rPr>
        <w:t>.</w:t>
      </w:r>
      <w:r w:rsidRPr="009D469E">
        <w:rPr>
          <w:color w:val="000000" w:themeColor="text1"/>
        </w:rPr>
        <w:t xml:space="preserve"> </w:t>
      </w:r>
      <w:r w:rsidR="00144A5B">
        <w:rPr>
          <w:color w:val="000000" w:themeColor="text1"/>
        </w:rPr>
        <w:t>“</w:t>
      </w:r>
      <w:r w:rsidRPr="009D469E">
        <w:rPr>
          <w:color w:val="000000" w:themeColor="text1"/>
        </w:rPr>
        <w:t>Rules Rather than Discretion: The Inconsistency of Optimal Plans</w:t>
      </w:r>
      <w:r w:rsidR="00144A5B">
        <w:rPr>
          <w:color w:val="000000" w:themeColor="text1"/>
        </w:rPr>
        <w:t>.”</w:t>
      </w:r>
      <w:r w:rsidRPr="009D469E">
        <w:rPr>
          <w:color w:val="000000" w:themeColor="text1"/>
        </w:rPr>
        <w:t xml:space="preserve"> </w:t>
      </w:r>
      <w:r w:rsidRPr="009D469E">
        <w:rPr>
          <w:i/>
          <w:iCs/>
          <w:color w:val="000000" w:themeColor="text1"/>
        </w:rPr>
        <w:t>Journal of Political Economy</w:t>
      </w:r>
      <w:r w:rsidRPr="009D469E">
        <w:rPr>
          <w:color w:val="000000" w:themeColor="text1"/>
        </w:rPr>
        <w:t xml:space="preserve">, 85(3), </w:t>
      </w:r>
      <w:r w:rsidR="00144A5B" w:rsidRPr="009D469E">
        <w:rPr>
          <w:color w:val="000000" w:themeColor="text1"/>
        </w:rPr>
        <w:t>1977</w:t>
      </w:r>
      <w:r w:rsidRPr="009D469E">
        <w:rPr>
          <w:color w:val="000000" w:themeColor="text1"/>
        </w:rPr>
        <w:t>, 473</w:t>
      </w:r>
      <w:r w:rsidRPr="009D469E">
        <w:t>–</w:t>
      </w:r>
      <w:r w:rsidRPr="009D469E">
        <w:rPr>
          <w:color w:val="000000" w:themeColor="text1"/>
        </w:rPr>
        <w:t>492.</w:t>
      </w:r>
    </w:p>
    <w:p w14:paraId="20DD8CF3" w14:textId="543A16C9" w:rsidR="006E67F5" w:rsidRPr="009D469E" w:rsidRDefault="006E67F5" w:rsidP="00741648">
      <w:pPr>
        <w:spacing w:line="360" w:lineRule="auto"/>
        <w:ind w:left="720" w:hanging="720"/>
        <w:contextualSpacing/>
        <w:rPr>
          <w:color w:val="000000" w:themeColor="text1"/>
        </w:rPr>
      </w:pPr>
      <w:r w:rsidRPr="009D469E">
        <w:rPr>
          <w:color w:val="000000" w:themeColor="text1"/>
        </w:rPr>
        <w:t xml:space="preserve">Lucas, Robert E. Jr. </w:t>
      </w:r>
      <w:r w:rsidR="00E0364B">
        <w:rPr>
          <w:color w:val="000000" w:themeColor="text1"/>
        </w:rPr>
        <w:t>“</w:t>
      </w:r>
      <w:r w:rsidRPr="009D469E">
        <w:rPr>
          <w:color w:val="000000" w:themeColor="text1"/>
        </w:rPr>
        <w:t>Expectations and the Neutrality of Money</w:t>
      </w:r>
      <w:r w:rsidR="00E0364B">
        <w:rPr>
          <w:color w:val="000000" w:themeColor="text1"/>
        </w:rPr>
        <w:t>.”</w:t>
      </w:r>
      <w:r w:rsidRPr="009D469E">
        <w:rPr>
          <w:color w:val="000000" w:themeColor="text1"/>
        </w:rPr>
        <w:t xml:space="preserve"> </w:t>
      </w:r>
      <w:r w:rsidRPr="009D469E">
        <w:rPr>
          <w:i/>
          <w:color w:val="000000" w:themeColor="text1"/>
        </w:rPr>
        <w:t>Journal of Economic Theory</w:t>
      </w:r>
      <w:r w:rsidRPr="009D469E">
        <w:rPr>
          <w:color w:val="000000" w:themeColor="text1"/>
        </w:rPr>
        <w:t xml:space="preserve">, 4(2), </w:t>
      </w:r>
      <w:r w:rsidR="00E0364B" w:rsidRPr="009D469E">
        <w:rPr>
          <w:color w:val="000000" w:themeColor="text1"/>
        </w:rPr>
        <w:t>1972</w:t>
      </w:r>
      <w:r w:rsidRPr="009D469E">
        <w:rPr>
          <w:color w:val="000000" w:themeColor="text1"/>
        </w:rPr>
        <w:t>, 103</w:t>
      </w:r>
      <w:r w:rsidRPr="009D469E">
        <w:t>–</w:t>
      </w:r>
      <w:r w:rsidRPr="009D469E">
        <w:rPr>
          <w:color w:val="000000" w:themeColor="text1"/>
        </w:rPr>
        <w:t>124.</w:t>
      </w:r>
    </w:p>
    <w:p w14:paraId="2E9924E1" w14:textId="5654AEBE" w:rsidR="00350A24" w:rsidRPr="009D469E" w:rsidRDefault="00350A24" w:rsidP="00741648">
      <w:pPr>
        <w:spacing w:line="360" w:lineRule="auto"/>
        <w:ind w:left="720" w:hanging="720"/>
        <w:contextualSpacing/>
      </w:pPr>
      <w:r w:rsidRPr="009D469E">
        <w:t xml:space="preserve">McGregor, Rob Roy. </w:t>
      </w:r>
      <w:r w:rsidR="00286380">
        <w:t>“</w:t>
      </w:r>
      <w:r w:rsidRPr="009D469E">
        <w:t>FOMC Voting Behavior and Electoral Cycles: Partisan Ideology and Partisan Loyalty</w:t>
      </w:r>
      <w:r w:rsidR="00286380">
        <w:t>.”</w:t>
      </w:r>
      <w:r w:rsidRPr="009D469E">
        <w:t xml:space="preserve"> </w:t>
      </w:r>
      <w:r w:rsidRPr="009D469E">
        <w:rPr>
          <w:i/>
        </w:rPr>
        <w:t>Economics &amp; Politics</w:t>
      </w:r>
      <w:r w:rsidRPr="009D469E">
        <w:t>, 8(1)</w:t>
      </w:r>
      <w:r w:rsidR="00286380">
        <w:t xml:space="preserve">, </w:t>
      </w:r>
      <w:r w:rsidR="00286380" w:rsidRPr="009D469E">
        <w:t>1996</w:t>
      </w:r>
      <w:r w:rsidR="00286380">
        <w:t>,</w:t>
      </w:r>
      <w:r>
        <w:t xml:space="preserve"> </w:t>
      </w:r>
      <w:r w:rsidRPr="009D469E">
        <w:t>17–32.</w:t>
      </w:r>
    </w:p>
    <w:p w14:paraId="79ECF610" w14:textId="2245BEFF" w:rsidR="00947D03" w:rsidRPr="009D469E" w:rsidRDefault="006E67F5" w:rsidP="00741648">
      <w:pPr>
        <w:spacing w:line="360" w:lineRule="auto"/>
        <w:ind w:left="720" w:hanging="720"/>
        <w:contextualSpacing/>
        <w:rPr>
          <w:color w:val="000000" w:themeColor="text1"/>
        </w:rPr>
      </w:pPr>
      <w:r w:rsidRPr="009D469E">
        <w:rPr>
          <w:color w:val="000000" w:themeColor="text1"/>
        </w:rPr>
        <w:t xml:space="preserve">Meade, Ellen E. and Daniel L. Thornton. </w:t>
      </w:r>
      <w:r w:rsidR="003C214E">
        <w:rPr>
          <w:color w:val="000000" w:themeColor="text1"/>
        </w:rPr>
        <w:t>“</w:t>
      </w:r>
      <w:r w:rsidRPr="009D469E">
        <w:rPr>
          <w:color w:val="000000" w:themeColor="text1"/>
        </w:rPr>
        <w:t>The Phillips Curve and US Monetary Policy: What the FOMC Transcripts Tell Us</w:t>
      </w:r>
      <w:r w:rsidR="003C214E">
        <w:rPr>
          <w:color w:val="000000" w:themeColor="text1"/>
        </w:rPr>
        <w:t>.”</w:t>
      </w:r>
      <w:r w:rsidRPr="009D469E">
        <w:rPr>
          <w:color w:val="000000" w:themeColor="text1"/>
        </w:rPr>
        <w:t xml:space="preserve"> </w:t>
      </w:r>
      <w:r w:rsidRPr="009D469E">
        <w:rPr>
          <w:i/>
          <w:color w:val="000000" w:themeColor="text1"/>
        </w:rPr>
        <w:t>Oxford Economic Papers</w:t>
      </w:r>
      <w:r w:rsidRPr="009D469E">
        <w:rPr>
          <w:color w:val="000000" w:themeColor="text1"/>
        </w:rPr>
        <w:t xml:space="preserve">, 64(2), </w:t>
      </w:r>
      <w:r w:rsidR="003C214E" w:rsidRPr="009D469E">
        <w:rPr>
          <w:color w:val="000000" w:themeColor="text1"/>
        </w:rPr>
        <w:t>2012</w:t>
      </w:r>
      <w:r w:rsidRPr="009D469E">
        <w:rPr>
          <w:color w:val="000000" w:themeColor="text1"/>
        </w:rPr>
        <w:t>, 197</w:t>
      </w:r>
      <w:r w:rsidRPr="009D469E">
        <w:t>–</w:t>
      </w:r>
      <w:r w:rsidRPr="009D469E">
        <w:rPr>
          <w:color w:val="000000" w:themeColor="text1"/>
        </w:rPr>
        <w:t>216.</w:t>
      </w:r>
    </w:p>
    <w:p w14:paraId="776EFF1D" w14:textId="4741B211" w:rsidR="00947D03" w:rsidRDefault="00947D03" w:rsidP="00BC06E6">
      <w:pPr>
        <w:spacing w:line="360" w:lineRule="auto"/>
        <w:ind w:left="720" w:hanging="720"/>
        <w:contextualSpacing/>
        <w:rPr>
          <w:rFonts w:eastAsia="Times New Roman"/>
        </w:rPr>
      </w:pPr>
      <w:r>
        <w:rPr>
          <w:rFonts w:eastAsia="Times New Roman"/>
        </w:rPr>
        <w:t xml:space="preserve">Meade, Ellen E., Nicholas A. Burk, and Melanie Josselyn. </w:t>
      </w:r>
      <w:r w:rsidR="00DC1215">
        <w:rPr>
          <w:rFonts w:eastAsia="Times New Roman"/>
        </w:rPr>
        <w:t>“</w:t>
      </w:r>
      <w:r>
        <w:rPr>
          <w:rFonts w:eastAsia="Times New Roman"/>
        </w:rPr>
        <w:t>The FOMC Meeting Minutes: An Assessment of Counting Words and the Diversity of Views</w:t>
      </w:r>
      <w:r w:rsidR="00DC1215">
        <w:rPr>
          <w:rFonts w:eastAsia="Times New Roman"/>
        </w:rPr>
        <w:t>.”</w:t>
      </w:r>
      <w:r>
        <w:rPr>
          <w:rFonts w:eastAsia="Times New Roman"/>
        </w:rPr>
        <w:t xml:space="preserve"> FEDS Notes. Washington: Board of Governors of the Federal Reserve System, May 26, 2015. https://doi.org/10.17016/2380-7172.2048</w:t>
      </w:r>
    </w:p>
    <w:p w14:paraId="399AE9BC" w14:textId="3F21A48A" w:rsidR="00466578" w:rsidRPr="009D469E" w:rsidRDefault="006E67F5">
      <w:pPr>
        <w:spacing w:line="360" w:lineRule="auto"/>
        <w:ind w:left="720" w:hanging="720"/>
        <w:contextualSpacing/>
        <w:rPr>
          <w:color w:val="000000" w:themeColor="text1"/>
        </w:rPr>
      </w:pPr>
      <w:r w:rsidRPr="009D469E">
        <w:rPr>
          <w:color w:val="000000" w:themeColor="text1"/>
        </w:rPr>
        <w:t xml:space="preserve">Meltzer, Alan (2009). </w:t>
      </w:r>
      <w:r w:rsidRPr="009D469E">
        <w:rPr>
          <w:i/>
          <w:color w:val="000000" w:themeColor="text1"/>
        </w:rPr>
        <w:t>A History of the Federal Reserve</w:t>
      </w:r>
      <w:r w:rsidRPr="009D469E">
        <w:rPr>
          <w:color w:val="000000" w:themeColor="text1"/>
        </w:rPr>
        <w:t xml:space="preserve">, Volume II, Book One, 1951-1969. Chicago: University of Chicago Press. </w:t>
      </w:r>
    </w:p>
    <w:p w14:paraId="3AF7A981" w14:textId="5E9C37EC" w:rsidR="006E67F5" w:rsidRPr="009D469E" w:rsidRDefault="006E67F5" w:rsidP="00741648">
      <w:pPr>
        <w:spacing w:line="360" w:lineRule="auto"/>
        <w:ind w:left="720" w:hanging="720"/>
        <w:contextualSpacing/>
        <w:rPr>
          <w:color w:val="000000" w:themeColor="text1"/>
        </w:rPr>
      </w:pPr>
      <w:r w:rsidRPr="009D469E">
        <w:rPr>
          <w:rFonts w:eastAsia="Times New Roman"/>
          <w:color w:val="000000" w:themeColor="text1"/>
        </w:rPr>
        <w:t xml:space="preserve">Orphanides, Athanasios. </w:t>
      </w:r>
      <w:r w:rsidR="00DC5EEF">
        <w:rPr>
          <w:rFonts w:eastAsia="Times New Roman"/>
          <w:color w:val="000000" w:themeColor="text1"/>
        </w:rPr>
        <w:t>“</w:t>
      </w:r>
      <w:r w:rsidRPr="009D469E">
        <w:rPr>
          <w:rFonts w:eastAsia="Times New Roman"/>
          <w:color w:val="000000" w:themeColor="text1"/>
        </w:rPr>
        <w:t>Monetary Policy Rules, Macroeconomic Stability, and Inflation: A View from the Trenches</w:t>
      </w:r>
      <w:r w:rsidR="00DC5EEF">
        <w:rPr>
          <w:rFonts w:eastAsia="Times New Roman"/>
          <w:color w:val="000000" w:themeColor="text1"/>
        </w:rPr>
        <w:t>.”</w:t>
      </w:r>
      <w:r w:rsidRPr="009D469E">
        <w:rPr>
          <w:rFonts w:eastAsia="Times New Roman"/>
          <w:color w:val="000000" w:themeColor="text1"/>
        </w:rPr>
        <w:t xml:space="preserve"> </w:t>
      </w:r>
      <w:r w:rsidRPr="009D469E">
        <w:rPr>
          <w:rFonts w:eastAsia="Times New Roman"/>
          <w:i/>
          <w:color w:val="000000" w:themeColor="text1"/>
        </w:rPr>
        <w:t>Journal of Money, Credit, and Banking</w:t>
      </w:r>
      <w:r w:rsidRPr="009D469E">
        <w:rPr>
          <w:rFonts w:eastAsia="Times New Roman"/>
          <w:color w:val="000000" w:themeColor="text1"/>
        </w:rPr>
        <w:t xml:space="preserve">, 36(2), </w:t>
      </w:r>
      <w:r w:rsidR="00DC5EEF" w:rsidRPr="009D469E">
        <w:rPr>
          <w:rFonts w:eastAsia="Times New Roman"/>
          <w:color w:val="000000" w:themeColor="text1"/>
        </w:rPr>
        <w:t>2004</w:t>
      </w:r>
      <w:r w:rsidRPr="009D469E">
        <w:rPr>
          <w:rFonts w:eastAsia="Times New Roman"/>
          <w:color w:val="000000" w:themeColor="text1"/>
        </w:rPr>
        <w:t>, 151</w:t>
      </w:r>
      <w:r w:rsidRPr="009D469E">
        <w:t>–</w:t>
      </w:r>
      <w:r w:rsidRPr="009D469E">
        <w:rPr>
          <w:rFonts w:eastAsia="Times New Roman"/>
          <w:color w:val="000000" w:themeColor="text1"/>
        </w:rPr>
        <w:t>175.</w:t>
      </w:r>
      <w:r w:rsidRPr="009D469E">
        <w:rPr>
          <w:color w:val="000000" w:themeColor="text1"/>
        </w:rPr>
        <w:t xml:space="preserve"> </w:t>
      </w:r>
    </w:p>
    <w:p w14:paraId="4A2E83BE" w14:textId="37BD97D4" w:rsidR="006E67F5" w:rsidRPr="009D469E" w:rsidRDefault="006E67F5" w:rsidP="00741648">
      <w:pPr>
        <w:spacing w:line="360" w:lineRule="auto"/>
        <w:ind w:left="720" w:hanging="720"/>
        <w:contextualSpacing/>
        <w:rPr>
          <w:color w:val="000000" w:themeColor="text1"/>
        </w:rPr>
      </w:pPr>
      <w:r w:rsidRPr="009D469E">
        <w:rPr>
          <w:color w:val="000000" w:themeColor="text1"/>
        </w:rPr>
        <w:t xml:space="preserve">Phelps, Edmond S. </w:t>
      </w:r>
      <w:r w:rsidR="00FF01C4">
        <w:rPr>
          <w:color w:val="000000" w:themeColor="text1"/>
        </w:rPr>
        <w:t>“</w:t>
      </w:r>
      <w:r w:rsidRPr="009D469E">
        <w:rPr>
          <w:color w:val="000000" w:themeColor="text1"/>
        </w:rPr>
        <w:t>Phillips Curves, Expectations of Inflation and Optimal Unemployment Over Time</w:t>
      </w:r>
      <w:r w:rsidR="00FF01C4">
        <w:rPr>
          <w:color w:val="000000" w:themeColor="text1"/>
        </w:rPr>
        <w:t>.”</w:t>
      </w:r>
      <w:r w:rsidRPr="009D469E">
        <w:rPr>
          <w:color w:val="000000" w:themeColor="text1"/>
        </w:rPr>
        <w:t xml:space="preserve"> </w:t>
      </w:r>
      <w:r w:rsidRPr="009D469E">
        <w:rPr>
          <w:i/>
          <w:color w:val="000000" w:themeColor="text1"/>
        </w:rPr>
        <w:t>Economica</w:t>
      </w:r>
      <w:r w:rsidRPr="009D469E">
        <w:rPr>
          <w:color w:val="000000" w:themeColor="text1"/>
        </w:rPr>
        <w:t xml:space="preserve">, 34(135), </w:t>
      </w:r>
      <w:r w:rsidR="00FF01C4" w:rsidRPr="009D469E">
        <w:rPr>
          <w:color w:val="000000" w:themeColor="text1"/>
        </w:rPr>
        <w:t>1967</w:t>
      </w:r>
      <w:r w:rsidRPr="009D469E">
        <w:rPr>
          <w:color w:val="000000" w:themeColor="text1"/>
        </w:rPr>
        <w:t>, 254</w:t>
      </w:r>
      <w:r w:rsidRPr="009D469E">
        <w:t>–</w:t>
      </w:r>
      <w:r w:rsidRPr="009D469E">
        <w:rPr>
          <w:color w:val="000000" w:themeColor="text1"/>
        </w:rPr>
        <w:t>281.</w:t>
      </w:r>
    </w:p>
    <w:p w14:paraId="7580ED9B" w14:textId="473568C0" w:rsidR="006E67F5" w:rsidRPr="009D469E" w:rsidRDefault="006E67F5" w:rsidP="00741648">
      <w:pPr>
        <w:spacing w:line="360" w:lineRule="auto"/>
        <w:ind w:left="720" w:hanging="720"/>
        <w:contextualSpacing/>
        <w:rPr>
          <w:color w:val="000000" w:themeColor="text1"/>
        </w:rPr>
      </w:pPr>
      <w:r w:rsidRPr="009D469E">
        <w:t xml:space="preserve">Phillips, Alban W. </w:t>
      </w:r>
      <w:r w:rsidR="007E0DCD">
        <w:t>“</w:t>
      </w:r>
      <w:r w:rsidRPr="009D469E">
        <w:t>The Relation between Unemployment and the Rate of Change of Money Wage Rates in the United Kingdom, 1861–1957</w:t>
      </w:r>
      <w:r w:rsidR="007E0DCD">
        <w:t>.”</w:t>
      </w:r>
      <w:r w:rsidRPr="009D469E">
        <w:t xml:space="preserve"> </w:t>
      </w:r>
      <w:r w:rsidRPr="009D469E">
        <w:rPr>
          <w:i/>
        </w:rPr>
        <w:t>Economica</w:t>
      </w:r>
      <w:r w:rsidRPr="009D469E">
        <w:t xml:space="preserve">, 25(100), </w:t>
      </w:r>
      <w:r w:rsidR="007E0DCD" w:rsidRPr="009D469E">
        <w:t>1958</w:t>
      </w:r>
      <w:r w:rsidRPr="009D469E">
        <w:t>, 283–299.</w:t>
      </w:r>
    </w:p>
    <w:p w14:paraId="6E284E7D" w14:textId="7A0A5780" w:rsidR="006E67F5" w:rsidRDefault="006E67F5" w:rsidP="00741648">
      <w:pPr>
        <w:spacing w:line="360" w:lineRule="auto"/>
        <w:ind w:left="720" w:hanging="720"/>
        <w:contextualSpacing/>
        <w:rPr>
          <w:color w:val="000000" w:themeColor="text1"/>
        </w:rPr>
      </w:pPr>
      <w:r w:rsidRPr="009D469E">
        <w:rPr>
          <w:color w:val="000000" w:themeColor="text1"/>
        </w:rPr>
        <w:t xml:space="preserve">Romer, Christina D. and David H. Romer. </w:t>
      </w:r>
      <w:r w:rsidR="00A70566">
        <w:rPr>
          <w:color w:val="000000" w:themeColor="text1"/>
        </w:rPr>
        <w:t>“</w:t>
      </w:r>
      <w:r w:rsidRPr="009D469E">
        <w:rPr>
          <w:color w:val="000000" w:themeColor="text1"/>
        </w:rPr>
        <w:t>Choosing the Federal Reserve Chair: Lessons from History</w:t>
      </w:r>
      <w:r w:rsidR="00A70566">
        <w:rPr>
          <w:color w:val="000000" w:themeColor="text1"/>
        </w:rPr>
        <w:t>.”</w:t>
      </w:r>
      <w:r w:rsidRPr="009D469E">
        <w:rPr>
          <w:color w:val="000000" w:themeColor="text1"/>
        </w:rPr>
        <w:t xml:space="preserve"> </w:t>
      </w:r>
      <w:r w:rsidRPr="009D469E">
        <w:rPr>
          <w:i/>
          <w:color w:val="000000" w:themeColor="text1"/>
        </w:rPr>
        <w:t>Journal of Economic Perspectives</w:t>
      </w:r>
      <w:r w:rsidRPr="009D469E">
        <w:rPr>
          <w:color w:val="000000" w:themeColor="text1"/>
        </w:rPr>
        <w:t xml:space="preserve">, 18(1), </w:t>
      </w:r>
      <w:r w:rsidR="00A70566" w:rsidRPr="009D469E">
        <w:rPr>
          <w:color w:val="000000" w:themeColor="text1"/>
        </w:rPr>
        <w:t>2004</w:t>
      </w:r>
      <w:r w:rsidRPr="009D469E">
        <w:rPr>
          <w:color w:val="000000" w:themeColor="text1"/>
        </w:rPr>
        <w:t>, 129</w:t>
      </w:r>
      <w:r w:rsidRPr="009D469E">
        <w:t>–</w:t>
      </w:r>
      <w:r w:rsidRPr="009D469E">
        <w:rPr>
          <w:color w:val="000000" w:themeColor="text1"/>
        </w:rPr>
        <w:t xml:space="preserve">162. </w:t>
      </w:r>
    </w:p>
    <w:p w14:paraId="17CB376A" w14:textId="675D8867" w:rsidR="005D2E0B" w:rsidRPr="009D469E" w:rsidRDefault="005D2E0B" w:rsidP="00741648">
      <w:pPr>
        <w:spacing w:line="360" w:lineRule="auto"/>
        <w:ind w:left="720" w:hanging="720"/>
        <w:contextualSpacing/>
        <w:rPr>
          <w:color w:val="000000" w:themeColor="text1"/>
        </w:rPr>
      </w:pPr>
      <w:r>
        <w:rPr>
          <w:color w:val="000000" w:themeColor="text1"/>
        </w:rPr>
        <w:lastRenderedPageBreak/>
        <w:t>Rudeb</w:t>
      </w:r>
      <w:r w:rsidR="00DB16EC">
        <w:rPr>
          <w:color w:val="000000" w:themeColor="text1"/>
        </w:rPr>
        <w:t xml:space="preserve">usch, Gleen. </w:t>
      </w:r>
      <w:r w:rsidR="008E2DAD">
        <w:rPr>
          <w:color w:val="000000" w:themeColor="text1"/>
        </w:rPr>
        <w:t>“</w:t>
      </w:r>
      <w:r>
        <w:rPr>
          <w:color w:val="000000" w:themeColor="text1"/>
        </w:rPr>
        <w:t>Term Structure Evidence on Interest Rate Smoothing and Monetary Policy Inertia</w:t>
      </w:r>
      <w:r w:rsidR="008E2DAD">
        <w:rPr>
          <w:color w:val="000000" w:themeColor="text1"/>
        </w:rPr>
        <w:t>.”</w:t>
      </w:r>
      <w:r>
        <w:rPr>
          <w:color w:val="000000" w:themeColor="text1"/>
        </w:rPr>
        <w:t xml:space="preserve"> </w:t>
      </w:r>
      <w:r w:rsidRPr="009D469E">
        <w:rPr>
          <w:rFonts w:eastAsia="Times New Roman"/>
          <w:i/>
          <w:color w:val="000000" w:themeColor="text1"/>
        </w:rPr>
        <w:t>Journal of Mone</w:t>
      </w:r>
      <w:r>
        <w:rPr>
          <w:rFonts w:eastAsia="Times New Roman"/>
          <w:i/>
          <w:color w:val="000000" w:themeColor="text1"/>
        </w:rPr>
        <w:t>tary Economics</w:t>
      </w:r>
      <w:r w:rsidRPr="00762EFF">
        <w:rPr>
          <w:rFonts w:eastAsia="Times New Roman"/>
          <w:color w:val="000000" w:themeColor="text1"/>
        </w:rPr>
        <w:t>,</w:t>
      </w:r>
      <w:r>
        <w:rPr>
          <w:rFonts w:eastAsia="Times New Roman"/>
          <w:color w:val="000000" w:themeColor="text1"/>
        </w:rPr>
        <w:t xml:space="preserve"> 49(6), </w:t>
      </w:r>
      <w:r w:rsidR="008E2DAD">
        <w:rPr>
          <w:color w:val="000000" w:themeColor="text1"/>
        </w:rPr>
        <w:t>2002,</w:t>
      </w:r>
      <w:r>
        <w:rPr>
          <w:rFonts w:eastAsia="Times New Roman"/>
          <w:color w:val="000000" w:themeColor="text1"/>
        </w:rPr>
        <w:t xml:space="preserve"> 1161-1187.</w:t>
      </w:r>
    </w:p>
    <w:p w14:paraId="1B5802EE" w14:textId="196142CC" w:rsidR="006E67F5" w:rsidRPr="009D469E" w:rsidRDefault="006E67F5" w:rsidP="00741648">
      <w:pPr>
        <w:spacing w:line="360" w:lineRule="auto"/>
        <w:ind w:left="720" w:hanging="720"/>
        <w:contextualSpacing/>
        <w:rPr>
          <w:color w:val="000000" w:themeColor="text1"/>
        </w:rPr>
      </w:pPr>
      <w:r w:rsidRPr="009D469E">
        <w:t xml:space="preserve">Samuelson, Paul A. and Robert M. Solow. </w:t>
      </w:r>
      <w:r w:rsidR="00A648B3">
        <w:t>“</w:t>
      </w:r>
      <w:r w:rsidRPr="009D469E">
        <w:t>Analytical Aspects of Anti-Inflation Policy</w:t>
      </w:r>
      <w:r w:rsidR="00A648B3">
        <w:t>.”</w:t>
      </w:r>
      <w:r w:rsidRPr="009D469E">
        <w:t xml:space="preserve"> </w:t>
      </w:r>
      <w:r w:rsidRPr="009D469E">
        <w:rPr>
          <w:i/>
        </w:rPr>
        <w:t>American Economic Review</w:t>
      </w:r>
      <w:r w:rsidRPr="009D469E">
        <w:t xml:space="preserve">, 50(2), </w:t>
      </w:r>
      <w:r w:rsidR="00A648B3" w:rsidRPr="009D469E">
        <w:t>1960</w:t>
      </w:r>
      <w:r w:rsidRPr="009D469E">
        <w:t>, 177–194.</w:t>
      </w:r>
    </w:p>
    <w:p w14:paraId="1A751F22" w14:textId="434C3FD0" w:rsidR="006E67F5" w:rsidRPr="009D469E" w:rsidRDefault="006E67F5" w:rsidP="00741648">
      <w:pPr>
        <w:spacing w:line="360" w:lineRule="auto"/>
        <w:ind w:left="720" w:hanging="720"/>
        <w:contextualSpacing/>
        <w:rPr>
          <w:rFonts w:eastAsia="Times New Roman"/>
          <w:color w:val="000000" w:themeColor="text1"/>
          <w:shd w:val="clear" w:color="auto" w:fill="FFFFFF"/>
        </w:rPr>
      </w:pPr>
      <w:r w:rsidRPr="009D469E">
        <w:rPr>
          <w:rFonts w:eastAsia="Times New Roman"/>
          <w:color w:val="000000" w:themeColor="text1"/>
          <w:shd w:val="clear" w:color="auto" w:fill="FFFFFF"/>
        </w:rPr>
        <w:t xml:space="preserve">Schonhardt-Bailey, Cheryl. </w:t>
      </w:r>
      <w:r w:rsidRPr="009D469E">
        <w:rPr>
          <w:rFonts w:eastAsia="Times New Roman"/>
          <w:i/>
          <w:iCs/>
          <w:color w:val="000000" w:themeColor="text1"/>
          <w:shd w:val="clear" w:color="auto" w:fill="FFFFFF"/>
        </w:rPr>
        <w:t>Deliberating American Monetary Policy: A Textual Analysis</w:t>
      </w:r>
      <w:r w:rsidRPr="009D469E">
        <w:rPr>
          <w:rFonts w:eastAsia="Times New Roman"/>
          <w:color w:val="000000" w:themeColor="text1"/>
          <w:shd w:val="clear" w:color="auto" w:fill="FFFFFF"/>
        </w:rPr>
        <w:t>. Cambridge, MA: MIT Press</w:t>
      </w:r>
      <w:r w:rsidR="00767BAD">
        <w:rPr>
          <w:rFonts w:eastAsia="Times New Roman"/>
          <w:color w:val="000000" w:themeColor="text1"/>
          <w:shd w:val="clear" w:color="auto" w:fill="FFFFFF"/>
        </w:rPr>
        <w:t xml:space="preserve">, </w:t>
      </w:r>
      <w:r w:rsidR="00767BAD" w:rsidRPr="009D469E">
        <w:rPr>
          <w:rFonts w:eastAsia="Times New Roman"/>
          <w:color w:val="000000" w:themeColor="text1"/>
          <w:shd w:val="clear" w:color="auto" w:fill="FFFFFF"/>
        </w:rPr>
        <w:t>2013</w:t>
      </w:r>
      <w:r w:rsidRPr="009D469E">
        <w:rPr>
          <w:rFonts w:eastAsia="Times New Roman"/>
          <w:color w:val="000000" w:themeColor="text1"/>
          <w:shd w:val="clear" w:color="auto" w:fill="FFFFFF"/>
        </w:rPr>
        <w:t>.</w:t>
      </w:r>
    </w:p>
    <w:p w14:paraId="0C9846C2" w14:textId="4C72C61E" w:rsidR="006E67F5" w:rsidRPr="009D469E" w:rsidRDefault="006E67F5" w:rsidP="00741648">
      <w:pPr>
        <w:spacing w:line="360" w:lineRule="auto"/>
        <w:ind w:left="720" w:hanging="720"/>
        <w:contextualSpacing/>
        <w:rPr>
          <w:color w:val="000000" w:themeColor="text1"/>
        </w:rPr>
      </w:pPr>
      <w:r w:rsidRPr="009D469E">
        <w:t xml:space="preserve">Taylor, John B. </w:t>
      </w:r>
      <w:r w:rsidR="0058514D">
        <w:t>“</w:t>
      </w:r>
      <w:r w:rsidRPr="009D469E">
        <w:t>Discretion Versus Policy Rules in Practice</w:t>
      </w:r>
      <w:r w:rsidR="0058514D">
        <w:t>.”</w:t>
      </w:r>
      <w:r w:rsidRPr="009D469E">
        <w:t xml:space="preserve"> </w:t>
      </w:r>
      <w:r w:rsidRPr="009D469E">
        <w:rPr>
          <w:i/>
        </w:rPr>
        <w:t>Carnegie-Rochester Conference Series on Public Policy</w:t>
      </w:r>
      <w:r w:rsidRPr="009D469E">
        <w:t xml:space="preserve">, 39, </w:t>
      </w:r>
      <w:r w:rsidR="0058514D" w:rsidRPr="009D469E">
        <w:t>1993</w:t>
      </w:r>
      <w:r w:rsidRPr="009D469E">
        <w:t>, 195–214.</w:t>
      </w:r>
    </w:p>
    <w:p w14:paraId="48DF2D0F" w14:textId="6A273D72" w:rsidR="006E67F5" w:rsidRPr="009D469E" w:rsidRDefault="006E67F5" w:rsidP="00741648">
      <w:pPr>
        <w:spacing w:line="360" w:lineRule="auto"/>
        <w:ind w:left="720" w:hanging="720"/>
        <w:contextualSpacing/>
      </w:pPr>
      <w:r w:rsidRPr="009D469E">
        <w:t xml:space="preserve">Woodford, Michael. </w:t>
      </w:r>
      <w:r w:rsidRPr="009D469E">
        <w:rPr>
          <w:i/>
        </w:rPr>
        <w:t>Interest and Prices: Foundations of a Theory of Monetary Policy</w:t>
      </w:r>
      <w:r w:rsidRPr="009D469E">
        <w:t>. Princeton, NJ: Princeton University Press</w:t>
      </w:r>
      <w:r w:rsidR="006C7892">
        <w:t xml:space="preserve">, </w:t>
      </w:r>
      <w:r w:rsidR="006C7892" w:rsidRPr="009D469E">
        <w:t>2011</w:t>
      </w:r>
      <w:r w:rsidRPr="009D469E">
        <w:t>.</w:t>
      </w:r>
    </w:p>
    <w:p w14:paraId="35CF0CB6" w14:textId="77777777" w:rsidR="006E67F5" w:rsidRPr="006A2A22" w:rsidRDefault="006E67F5" w:rsidP="006E67F5">
      <w:pPr>
        <w:spacing w:line="240" w:lineRule="auto"/>
        <w:ind w:firstLine="0"/>
        <w:contextualSpacing/>
        <w:jc w:val="left"/>
        <w:rPr>
          <w:color w:val="000000" w:themeColor="text1"/>
        </w:rPr>
      </w:pPr>
    </w:p>
    <w:p w14:paraId="24342F93" w14:textId="77777777" w:rsidR="000B330E" w:rsidRDefault="000B330E">
      <w:pPr>
        <w:spacing w:line="240" w:lineRule="auto"/>
        <w:ind w:firstLine="0"/>
        <w:jc w:val="left"/>
        <w:rPr>
          <w:b/>
        </w:rPr>
      </w:pPr>
      <w:r>
        <w:rPr>
          <w:b/>
        </w:rPr>
        <w:br w:type="page"/>
      </w:r>
    </w:p>
    <w:p w14:paraId="4E7DF8AC" w14:textId="752B965C" w:rsidR="00D478DC" w:rsidRDefault="00D478DC" w:rsidP="00024E1E">
      <w:pPr>
        <w:spacing w:after="240" w:line="240" w:lineRule="auto"/>
        <w:ind w:firstLine="0"/>
        <w:contextualSpacing/>
        <w:jc w:val="center"/>
        <w:rPr>
          <w:b/>
        </w:rPr>
      </w:pPr>
      <w:r w:rsidRPr="0047255B">
        <w:rPr>
          <w:b/>
        </w:rPr>
        <w:lastRenderedPageBreak/>
        <w:t>F</w:t>
      </w:r>
      <w:r>
        <w:rPr>
          <w:b/>
        </w:rPr>
        <w:t>IGURE</w:t>
      </w:r>
      <w:r w:rsidRPr="0047255B">
        <w:rPr>
          <w:b/>
        </w:rPr>
        <w:t xml:space="preserve"> </w:t>
      </w:r>
      <w:r>
        <w:rPr>
          <w:b/>
        </w:rPr>
        <w:t>1</w:t>
      </w:r>
    </w:p>
    <w:p w14:paraId="142D4A8B" w14:textId="66791741" w:rsidR="00D478DC" w:rsidRPr="0047255B" w:rsidRDefault="00D478DC" w:rsidP="00024E1E">
      <w:pPr>
        <w:spacing w:after="240" w:line="240" w:lineRule="auto"/>
        <w:ind w:firstLine="0"/>
        <w:contextualSpacing/>
        <w:jc w:val="center"/>
      </w:pPr>
      <w:r w:rsidRPr="0047255B">
        <w:rPr>
          <w:b/>
        </w:rPr>
        <w:t>Inflation Discussions over Time</w:t>
      </w:r>
    </w:p>
    <w:p w14:paraId="344C3421" w14:textId="779723D4" w:rsidR="009D469E" w:rsidRDefault="009D469E" w:rsidP="00024E1E">
      <w:pPr>
        <w:spacing w:line="240" w:lineRule="auto"/>
        <w:ind w:firstLine="0"/>
        <w:contextualSpacing/>
        <w:jc w:val="left"/>
        <w:rPr>
          <w:color w:val="000000" w:themeColor="text1"/>
        </w:rPr>
      </w:pPr>
    </w:p>
    <w:p w14:paraId="7C467ADE" w14:textId="049F9904" w:rsidR="007950E1" w:rsidRPr="00A47A63" w:rsidRDefault="007950E1" w:rsidP="002E6DEC">
      <w:pPr>
        <w:spacing w:line="240" w:lineRule="auto"/>
        <w:ind w:firstLine="0"/>
        <w:contextualSpacing/>
        <w:jc w:val="center"/>
        <w:rPr>
          <w:color w:val="000000" w:themeColor="text1"/>
        </w:rPr>
      </w:pPr>
      <w:r w:rsidRPr="002E6DEC">
        <w:rPr>
          <w:noProof/>
          <w:color w:val="000000" w:themeColor="text1"/>
        </w:rPr>
        <w:drawing>
          <wp:inline distT="0" distB="0" distL="0" distR="0" wp14:anchorId="79BDEF7D" wp14:editId="356E849C">
            <wp:extent cx="5943600" cy="4310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_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310380"/>
                    </a:xfrm>
                    <a:prstGeom prst="rect">
                      <a:avLst/>
                    </a:prstGeom>
                  </pic:spPr>
                </pic:pic>
              </a:graphicData>
            </a:graphic>
          </wp:inline>
        </w:drawing>
      </w:r>
    </w:p>
    <w:p w14:paraId="284016C2" w14:textId="1A150563" w:rsidR="009D469E" w:rsidRPr="0047255B" w:rsidRDefault="009D469E" w:rsidP="00024E1E">
      <w:pPr>
        <w:spacing w:after="240"/>
        <w:ind w:firstLine="0"/>
        <w:contextualSpacing/>
        <w:jc w:val="center"/>
      </w:pPr>
    </w:p>
    <w:p w14:paraId="04EE2DFE" w14:textId="19E35BD2" w:rsidR="009D469E" w:rsidRPr="002E6DEC" w:rsidRDefault="009D469E" w:rsidP="00024E1E">
      <w:pPr>
        <w:ind w:firstLine="0"/>
        <w:contextualSpacing/>
        <w:rPr>
          <w:sz w:val="20"/>
        </w:rPr>
      </w:pPr>
      <w:r w:rsidRPr="002E6DEC">
        <w:rPr>
          <w:sz w:val="20"/>
        </w:rPr>
        <w:t xml:space="preserve">Notes: INFL = </w:t>
      </w:r>
      <w:r w:rsidR="00B54E8A" w:rsidRPr="002E6DEC">
        <w:rPr>
          <w:sz w:val="20"/>
        </w:rPr>
        <w:t xml:space="preserve">mentions </w:t>
      </w:r>
      <w:r w:rsidRPr="002E6DEC">
        <w:rPr>
          <w:sz w:val="20"/>
        </w:rPr>
        <w:t>of inflation divided by total mentions of inflation and unemployment. See Appendix A for the measurement of INFL and Appendix B for the measurement of CPI. The figure contains smoothed quarterly data, which are generated by: 1) taking average of observed values associated with Greenbook dates within the same quarter and assigning this averaged value to each quarter, and 2) taking the average of the quarterly values of the adjacent three quarters and assigning this averaged value to each quarter.</w:t>
      </w:r>
    </w:p>
    <w:p w14:paraId="40671CD3" w14:textId="77777777" w:rsidR="009D469E" w:rsidRPr="002E6DEC" w:rsidRDefault="009D469E" w:rsidP="00024E1E">
      <w:pPr>
        <w:ind w:firstLine="0"/>
        <w:contextualSpacing/>
        <w:rPr>
          <w:sz w:val="20"/>
        </w:rPr>
      </w:pPr>
    </w:p>
    <w:p w14:paraId="4EC9A34B" w14:textId="2449071E" w:rsidR="009D469E" w:rsidRPr="002E6DEC" w:rsidRDefault="009D469E" w:rsidP="00024E1E">
      <w:pPr>
        <w:ind w:firstLine="0"/>
        <w:contextualSpacing/>
        <w:rPr>
          <w:sz w:val="20"/>
        </w:rPr>
      </w:pPr>
      <w:r w:rsidRPr="002E6DEC">
        <w:rPr>
          <w:i/>
          <w:sz w:val="20"/>
        </w:rPr>
        <w:t>Source</w:t>
      </w:r>
      <w:r w:rsidR="00E0373F" w:rsidRPr="002E6DEC">
        <w:rPr>
          <w:i/>
          <w:sz w:val="20"/>
        </w:rPr>
        <w:t>s</w:t>
      </w:r>
      <w:r w:rsidRPr="002E6DEC">
        <w:rPr>
          <w:sz w:val="20"/>
        </w:rPr>
        <w:t>: ALFRED; FOMC Greenbooks; Authors’ Dataset.</w:t>
      </w:r>
    </w:p>
    <w:p w14:paraId="5F547614" w14:textId="77777777" w:rsidR="009D469E" w:rsidRDefault="009D469E" w:rsidP="001369FF">
      <w:pPr>
        <w:spacing w:line="240" w:lineRule="auto"/>
        <w:ind w:firstLine="0"/>
        <w:contextualSpacing/>
        <w:jc w:val="left"/>
      </w:pPr>
      <w:r>
        <w:br w:type="page"/>
      </w:r>
    </w:p>
    <w:p w14:paraId="2131C061" w14:textId="40908EDF" w:rsidR="00F01B95" w:rsidRDefault="00F01B95" w:rsidP="00024E1E">
      <w:pPr>
        <w:spacing w:after="60" w:line="240" w:lineRule="auto"/>
        <w:ind w:firstLine="0"/>
        <w:contextualSpacing/>
        <w:jc w:val="center"/>
        <w:rPr>
          <w:rFonts w:eastAsia="DengXian"/>
          <w:b/>
          <w:lang w:eastAsia="zh-CN"/>
        </w:rPr>
      </w:pPr>
      <w:r w:rsidRPr="0047255B">
        <w:rPr>
          <w:rFonts w:eastAsia="DengXian"/>
          <w:b/>
          <w:lang w:eastAsia="zh-CN"/>
        </w:rPr>
        <w:lastRenderedPageBreak/>
        <w:t>TABLE</w:t>
      </w:r>
      <w:r w:rsidR="009D469E" w:rsidRPr="0047255B">
        <w:rPr>
          <w:rFonts w:eastAsia="DengXian"/>
          <w:b/>
          <w:lang w:eastAsia="zh-CN"/>
        </w:rPr>
        <w:t xml:space="preserve"> 1</w:t>
      </w:r>
    </w:p>
    <w:p w14:paraId="307AF92E" w14:textId="3E8220D1" w:rsidR="009D469E" w:rsidRPr="0047255B" w:rsidRDefault="009D469E" w:rsidP="00024E1E">
      <w:pPr>
        <w:spacing w:after="60" w:line="240" w:lineRule="auto"/>
        <w:ind w:firstLine="0"/>
        <w:contextualSpacing/>
        <w:jc w:val="center"/>
        <w:rPr>
          <w:rFonts w:eastAsia="DengXian"/>
          <w:b/>
          <w:lang w:eastAsia="zh-CN"/>
        </w:rPr>
      </w:pPr>
      <w:r w:rsidRPr="0047255B">
        <w:rPr>
          <w:rFonts w:eastAsia="DengXian"/>
          <w:b/>
          <w:lang w:eastAsia="zh-CN"/>
        </w:rPr>
        <w:t>INFL Over Time (OLS)</w:t>
      </w:r>
    </w:p>
    <w:tbl>
      <w:tblPr>
        <w:tblW w:w="9142" w:type="dxa"/>
        <w:jc w:val="center"/>
        <w:tblLayout w:type="fixed"/>
        <w:tblLook w:val="04A0" w:firstRow="1" w:lastRow="0" w:firstColumn="1" w:lastColumn="0" w:noHBand="0" w:noVBand="1"/>
      </w:tblPr>
      <w:tblGrid>
        <w:gridCol w:w="4410"/>
        <w:gridCol w:w="1183"/>
        <w:gridCol w:w="1183"/>
        <w:gridCol w:w="1183"/>
        <w:gridCol w:w="1183"/>
      </w:tblGrid>
      <w:tr w:rsidR="009D469E" w:rsidRPr="007D4961" w14:paraId="38C63DB4" w14:textId="77777777" w:rsidTr="00024E1E">
        <w:trPr>
          <w:trHeight w:val="20"/>
          <w:jc w:val="center"/>
        </w:trPr>
        <w:tc>
          <w:tcPr>
            <w:tcW w:w="4410" w:type="dxa"/>
            <w:tcBorders>
              <w:top w:val="double" w:sz="4" w:space="0" w:color="auto"/>
            </w:tcBorders>
            <w:shd w:val="clear" w:color="auto" w:fill="auto"/>
            <w:noWrap/>
            <w:vAlign w:val="bottom"/>
            <w:hideMark/>
          </w:tcPr>
          <w:p w14:paraId="78B629E2" w14:textId="42D9840A" w:rsidR="009D469E" w:rsidRPr="00024E1E" w:rsidRDefault="008F1A43" w:rsidP="00024E1E">
            <w:pPr>
              <w:spacing w:after="160" w:line="240" w:lineRule="auto"/>
              <w:ind w:firstLine="0"/>
              <w:contextualSpacing/>
              <w:jc w:val="left"/>
              <w:rPr>
                <w:rFonts w:eastAsia="DengXian"/>
                <w:bCs/>
                <w:sz w:val="20"/>
                <w:szCs w:val="20"/>
                <w:lang w:eastAsia="zh-CN"/>
              </w:rPr>
            </w:pPr>
            <w:r>
              <w:rPr>
                <w:rFonts w:eastAsia="DengXian"/>
                <w:bCs/>
                <w:sz w:val="20"/>
                <w:szCs w:val="20"/>
                <w:lang w:eastAsia="zh-CN"/>
              </w:rPr>
              <w:t xml:space="preserve"> </w:t>
            </w:r>
            <w:r w:rsidR="001B4C37">
              <w:rPr>
                <w:rFonts w:eastAsia="DengXian"/>
                <w:bCs/>
                <w:sz w:val="20"/>
                <w:szCs w:val="20"/>
                <w:lang w:eastAsia="zh-CN"/>
              </w:rPr>
              <w:t>DV: INFL</w:t>
            </w:r>
          </w:p>
        </w:tc>
        <w:tc>
          <w:tcPr>
            <w:tcW w:w="1183" w:type="dxa"/>
            <w:tcBorders>
              <w:top w:val="double" w:sz="4" w:space="0" w:color="auto"/>
            </w:tcBorders>
            <w:shd w:val="clear" w:color="auto" w:fill="auto"/>
            <w:vAlign w:val="center"/>
            <w:hideMark/>
          </w:tcPr>
          <w:p w14:paraId="7F71AA93" w14:textId="77777777" w:rsidR="009D469E" w:rsidRPr="00024E1E" w:rsidRDefault="009D469E" w:rsidP="00024E1E">
            <w:pPr>
              <w:spacing w:after="160" w:line="240" w:lineRule="auto"/>
              <w:ind w:firstLine="0"/>
              <w:contextualSpacing/>
              <w:jc w:val="right"/>
              <w:rPr>
                <w:rFonts w:eastAsia="DengXian"/>
                <w:bCs/>
                <w:sz w:val="20"/>
                <w:szCs w:val="20"/>
                <w:lang w:eastAsia="zh-CN"/>
              </w:rPr>
            </w:pPr>
            <w:r w:rsidRPr="00024E1E">
              <w:rPr>
                <w:rFonts w:eastAsia="DengXian"/>
                <w:bCs/>
                <w:sz w:val="20"/>
                <w:szCs w:val="20"/>
                <w:lang w:eastAsia="zh-CN"/>
              </w:rPr>
              <w:t>(1)</w:t>
            </w:r>
          </w:p>
        </w:tc>
        <w:tc>
          <w:tcPr>
            <w:tcW w:w="1183" w:type="dxa"/>
            <w:tcBorders>
              <w:top w:val="double" w:sz="4" w:space="0" w:color="auto"/>
            </w:tcBorders>
            <w:shd w:val="clear" w:color="auto" w:fill="auto"/>
            <w:vAlign w:val="center"/>
            <w:hideMark/>
          </w:tcPr>
          <w:p w14:paraId="46A9C3C3" w14:textId="77777777" w:rsidR="009D469E" w:rsidRPr="00024E1E" w:rsidRDefault="009D469E" w:rsidP="00024E1E">
            <w:pPr>
              <w:spacing w:after="160" w:line="240" w:lineRule="auto"/>
              <w:ind w:firstLine="0"/>
              <w:contextualSpacing/>
              <w:jc w:val="right"/>
              <w:rPr>
                <w:rFonts w:eastAsia="DengXian"/>
                <w:bCs/>
                <w:sz w:val="20"/>
                <w:szCs w:val="20"/>
                <w:lang w:eastAsia="zh-CN"/>
              </w:rPr>
            </w:pPr>
            <w:r w:rsidRPr="00024E1E">
              <w:rPr>
                <w:rFonts w:eastAsia="DengXian"/>
                <w:bCs/>
                <w:sz w:val="20"/>
                <w:szCs w:val="20"/>
                <w:lang w:eastAsia="zh-CN"/>
              </w:rPr>
              <w:t>(2)</w:t>
            </w:r>
          </w:p>
        </w:tc>
        <w:tc>
          <w:tcPr>
            <w:tcW w:w="1183" w:type="dxa"/>
            <w:tcBorders>
              <w:top w:val="double" w:sz="4" w:space="0" w:color="auto"/>
            </w:tcBorders>
            <w:shd w:val="clear" w:color="auto" w:fill="auto"/>
            <w:vAlign w:val="center"/>
            <w:hideMark/>
          </w:tcPr>
          <w:p w14:paraId="79C7DB24" w14:textId="77777777" w:rsidR="009D469E" w:rsidRPr="00024E1E" w:rsidRDefault="009D469E" w:rsidP="00024E1E">
            <w:pPr>
              <w:spacing w:after="160" w:line="240" w:lineRule="auto"/>
              <w:ind w:firstLine="0"/>
              <w:contextualSpacing/>
              <w:jc w:val="right"/>
              <w:rPr>
                <w:rFonts w:eastAsia="DengXian"/>
                <w:bCs/>
                <w:sz w:val="20"/>
                <w:szCs w:val="20"/>
                <w:lang w:eastAsia="zh-CN"/>
              </w:rPr>
            </w:pPr>
            <w:r w:rsidRPr="00024E1E">
              <w:rPr>
                <w:rFonts w:eastAsia="DengXian"/>
                <w:bCs/>
                <w:sz w:val="20"/>
                <w:szCs w:val="20"/>
                <w:lang w:eastAsia="zh-CN"/>
              </w:rPr>
              <w:t>(3)</w:t>
            </w:r>
          </w:p>
        </w:tc>
        <w:tc>
          <w:tcPr>
            <w:tcW w:w="1183" w:type="dxa"/>
            <w:tcBorders>
              <w:top w:val="double" w:sz="4" w:space="0" w:color="auto"/>
            </w:tcBorders>
            <w:shd w:val="clear" w:color="auto" w:fill="auto"/>
            <w:vAlign w:val="center"/>
            <w:hideMark/>
          </w:tcPr>
          <w:p w14:paraId="032EE2FA" w14:textId="77777777" w:rsidR="009D469E" w:rsidRPr="00024E1E" w:rsidRDefault="009D469E" w:rsidP="00024E1E">
            <w:pPr>
              <w:spacing w:after="160" w:line="240" w:lineRule="auto"/>
              <w:ind w:firstLine="0"/>
              <w:contextualSpacing/>
              <w:jc w:val="right"/>
              <w:rPr>
                <w:rFonts w:eastAsia="DengXian"/>
                <w:bCs/>
                <w:sz w:val="20"/>
                <w:szCs w:val="20"/>
                <w:lang w:eastAsia="zh-CN"/>
              </w:rPr>
            </w:pPr>
            <w:r w:rsidRPr="00024E1E">
              <w:rPr>
                <w:rFonts w:eastAsia="DengXian"/>
                <w:bCs/>
                <w:sz w:val="20"/>
                <w:szCs w:val="20"/>
                <w:lang w:eastAsia="zh-CN"/>
              </w:rPr>
              <w:t>(4)</w:t>
            </w:r>
          </w:p>
        </w:tc>
      </w:tr>
      <w:tr w:rsidR="009D469E" w:rsidRPr="007D4961" w14:paraId="7DE9AC5A" w14:textId="77777777" w:rsidTr="00024E1E">
        <w:trPr>
          <w:trHeight w:val="20"/>
          <w:jc w:val="center"/>
        </w:trPr>
        <w:tc>
          <w:tcPr>
            <w:tcW w:w="4410" w:type="dxa"/>
            <w:tcBorders>
              <w:top w:val="single" w:sz="4" w:space="0" w:color="auto"/>
            </w:tcBorders>
            <w:shd w:val="clear" w:color="auto" w:fill="auto"/>
            <w:noWrap/>
            <w:vAlign w:val="bottom"/>
            <w:hideMark/>
          </w:tcPr>
          <w:p w14:paraId="2839F4AA"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VARIABLES</w:t>
            </w:r>
          </w:p>
        </w:tc>
        <w:tc>
          <w:tcPr>
            <w:tcW w:w="1183" w:type="dxa"/>
            <w:tcBorders>
              <w:top w:val="single" w:sz="4" w:space="0" w:color="auto"/>
            </w:tcBorders>
            <w:shd w:val="clear" w:color="auto" w:fill="auto"/>
            <w:vAlign w:val="center"/>
            <w:hideMark/>
          </w:tcPr>
          <w:p w14:paraId="526BF92B" w14:textId="77777777" w:rsidR="009D469E" w:rsidRPr="00024E1E" w:rsidRDefault="009D469E" w:rsidP="00024E1E">
            <w:pPr>
              <w:spacing w:after="160" w:line="240" w:lineRule="auto"/>
              <w:ind w:firstLine="0"/>
              <w:contextualSpacing/>
              <w:jc w:val="right"/>
              <w:rPr>
                <w:rFonts w:eastAsia="DengXian"/>
                <w:bCs/>
                <w:sz w:val="20"/>
                <w:szCs w:val="20"/>
                <w:lang w:eastAsia="zh-CN"/>
              </w:rPr>
            </w:pPr>
            <w:r w:rsidRPr="00024E1E">
              <w:rPr>
                <w:rFonts w:eastAsia="DengXian"/>
                <w:bCs/>
                <w:sz w:val="20"/>
                <w:szCs w:val="20"/>
                <w:lang w:eastAsia="zh-CN"/>
              </w:rPr>
              <w:t>Baseline</w:t>
            </w:r>
          </w:p>
        </w:tc>
        <w:tc>
          <w:tcPr>
            <w:tcW w:w="1183" w:type="dxa"/>
            <w:tcBorders>
              <w:top w:val="single" w:sz="4" w:space="0" w:color="auto"/>
            </w:tcBorders>
            <w:shd w:val="clear" w:color="auto" w:fill="auto"/>
            <w:vAlign w:val="center"/>
            <w:hideMark/>
          </w:tcPr>
          <w:p w14:paraId="1342D78B" w14:textId="77777777" w:rsidR="009D469E" w:rsidRPr="00024E1E" w:rsidRDefault="009D469E" w:rsidP="00024E1E">
            <w:pPr>
              <w:spacing w:after="160" w:line="240" w:lineRule="auto"/>
              <w:ind w:firstLine="0"/>
              <w:contextualSpacing/>
              <w:jc w:val="right"/>
              <w:rPr>
                <w:rFonts w:eastAsia="DengXian"/>
                <w:bCs/>
                <w:sz w:val="20"/>
                <w:szCs w:val="20"/>
                <w:lang w:eastAsia="zh-CN"/>
              </w:rPr>
            </w:pPr>
            <w:r w:rsidRPr="00024E1E">
              <w:rPr>
                <w:rFonts w:eastAsia="DengXian"/>
                <w:bCs/>
                <w:sz w:val="20"/>
                <w:szCs w:val="20"/>
                <w:lang w:eastAsia="zh-CN"/>
              </w:rPr>
              <w:t>Baseline + Break</w:t>
            </w:r>
          </w:p>
        </w:tc>
        <w:tc>
          <w:tcPr>
            <w:tcW w:w="1183" w:type="dxa"/>
            <w:tcBorders>
              <w:top w:val="single" w:sz="4" w:space="0" w:color="auto"/>
            </w:tcBorders>
            <w:shd w:val="clear" w:color="auto" w:fill="auto"/>
            <w:vAlign w:val="center"/>
            <w:hideMark/>
          </w:tcPr>
          <w:p w14:paraId="065398B6" w14:textId="77777777" w:rsidR="009D469E" w:rsidRPr="00024E1E" w:rsidRDefault="009D469E" w:rsidP="00024E1E">
            <w:pPr>
              <w:spacing w:after="160" w:line="240" w:lineRule="auto"/>
              <w:ind w:firstLine="0"/>
              <w:contextualSpacing/>
              <w:jc w:val="right"/>
              <w:rPr>
                <w:rFonts w:eastAsia="DengXian"/>
                <w:bCs/>
                <w:sz w:val="20"/>
                <w:szCs w:val="20"/>
                <w:lang w:eastAsia="zh-CN"/>
              </w:rPr>
            </w:pPr>
            <w:r w:rsidRPr="00024E1E">
              <w:rPr>
                <w:rFonts w:eastAsia="DengXian"/>
                <w:bCs/>
                <w:sz w:val="20"/>
                <w:szCs w:val="20"/>
                <w:lang w:eastAsia="zh-CN"/>
              </w:rPr>
              <w:t>Committee +Break</w:t>
            </w:r>
          </w:p>
        </w:tc>
        <w:tc>
          <w:tcPr>
            <w:tcW w:w="1183" w:type="dxa"/>
            <w:tcBorders>
              <w:top w:val="single" w:sz="4" w:space="0" w:color="auto"/>
            </w:tcBorders>
            <w:shd w:val="clear" w:color="auto" w:fill="auto"/>
            <w:vAlign w:val="center"/>
            <w:hideMark/>
          </w:tcPr>
          <w:p w14:paraId="50162DD9" w14:textId="77777777" w:rsidR="009D469E" w:rsidRPr="00024E1E" w:rsidRDefault="009D469E" w:rsidP="00024E1E">
            <w:pPr>
              <w:spacing w:after="160" w:line="240" w:lineRule="auto"/>
              <w:ind w:firstLine="0"/>
              <w:contextualSpacing/>
              <w:jc w:val="right"/>
              <w:rPr>
                <w:rFonts w:eastAsia="DengXian"/>
                <w:bCs/>
                <w:sz w:val="20"/>
                <w:szCs w:val="20"/>
                <w:lang w:eastAsia="zh-CN"/>
              </w:rPr>
            </w:pPr>
            <w:r w:rsidRPr="00024E1E">
              <w:rPr>
                <w:rFonts w:eastAsia="DengXian"/>
                <w:bCs/>
                <w:sz w:val="20"/>
                <w:szCs w:val="20"/>
                <w:lang w:eastAsia="zh-CN"/>
              </w:rPr>
              <w:t>Committee + Chairs</w:t>
            </w:r>
          </w:p>
        </w:tc>
      </w:tr>
      <w:tr w:rsidR="009D469E" w:rsidRPr="007D4961" w14:paraId="46A13817" w14:textId="77777777" w:rsidTr="00024E1E">
        <w:trPr>
          <w:trHeight w:val="20"/>
          <w:jc w:val="center"/>
        </w:trPr>
        <w:tc>
          <w:tcPr>
            <w:tcW w:w="4410" w:type="dxa"/>
            <w:tcBorders>
              <w:top w:val="single" w:sz="4" w:space="0" w:color="auto"/>
            </w:tcBorders>
            <w:shd w:val="clear" w:color="auto" w:fill="auto"/>
            <w:noWrap/>
            <w:hideMark/>
          </w:tcPr>
          <w:p w14:paraId="088606B0"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 </w:t>
            </w:r>
          </w:p>
        </w:tc>
        <w:tc>
          <w:tcPr>
            <w:tcW w:w="1183" w:type="dxa"/>
            <w:tcBorders>
              <w:top w:val="single" w:sz="4" w:space="0" w:color="auto"/>
            </w:tcBorders>
            <w:shd w:val="clear" w:color="auto" w:fill="auto"/>
            <w:noWrap/>
            <w:vAlign w:val="bottom"/>
            <w:hideMark/>
          </w:tcPr>
          <w:p w14:paraId="18BB4982" w14:textId="2051BF64"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tcBorders>
              <w:top w:val="single" w:sz="4" w:space="0" w:color="auto"/>
            </w:tcBorders>
            <w:shd w:val="clear" w:color="auto" w:fill="auto"/>
            <w:noWrap/>
            <w:vAlign w:val="bottom"/>
            <w:hideMark/>
          </w:tcPr>
          <w:p w14:paraId="63FFC336" w14:textId="7B2814C0"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tcBorders>
              <w:top w:val="single" w:sz="4" w:space="0" w:color="auto"/>
            </w:tcBorders>
            <w:shd w:val="clear" w:color="auto" w:fill="auto"/>
            <w:noWrap/>
            <w:vAlign w:val="bottom"/>
            <w:hideMark/>
          </w:tcPr>
          <w:p w14:paraId="65F0D74A" w14:textId="4BB0F725"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tcBorders>
              <w:top w:val="single" w:sz="4" w:space="0" w:color="auto"/>
            </w:tcBorders>
            <w:shd w:val="clear" w:color="auto" w:fill="auto"/>
            <w:noWrap/>
            <w:vAlign w:val="bottom"/>
            <w:hideMark/>
          </w:tcPr>
          <w:p w14:paraId="63802891" w14:textId="5F0627C6" w:rsidR="009D469E" w:rsidRPr="00024E1E" w:rsidRDefault="009D469E" w:rsidP="00024E1E">
            <w:pPr>
              <w:spacing w:after="160" w:line="240" w:lineRule="auto"/>
              <w:ind w:firstLine="0"/>
              <w:contextualSpacing/>
              <w:jc w:val="right"/>
              <w:rPr>
                <w:rFonts w:eastAsia="DengXian"/>
                <w:sz w:val="20"/>
                <w:szCs w:val="20"/>
                <w:lang w:eastAsia="zh-CN"/>
              </w:rPr>
            </w:pPr>
          </w:p>
        </w:tc>
      </w:tr>
      <w:tr w:rsidR="00D73D5C" w:rsidRPr="007D4961" w14:paraId="672249F9" w14:textId="77777777" w:rsidTr="00024E1E">
        <w:trPr>
          <w:trHeight w:val="20"/>
          <w:jc w:val="center"/>
        </w:trPr>
        <w:tc>
          <w:tcPr>
            <w:tcW w:w="4410" w:type="dxa"/>
            <w:vMerge w:val="restart"/>
            <w:shd w:val="clear" w:color="auto" w:fill="auto"/>
            <w:noWrap/>
            <w:hideMark/>
          </w:tcPr>
          <w:p w14:paraId="31F19609" w14:textId="04C5D203" w:rsidR="00D73D5C" w:rsidRPr="00024E1E" w:rsidRDefault="00D73D5C" w:rsidP="00024E1E">
            <w:pPr>
              <w:spacing w:after="160" w:line="240" w:lineRule="auto"/>
              <w:ind w:left="144" w:hanging="144"/>
              <w:contextualSpacing/>
              <w:jc w:val="left"/>
              <w:rPr>
                <w:rFonts w:eastAsia="DengXian"/>
                <w:sz w:val="20"/>
                <w:szCs w:val="20"/>
                <w:lang w:eastAsia="zh-CN"/>
              </w:rPr>
            </w:pPr>
            <w:r w:rsidRPr="00024E1E">
              <w:rPr>
                <w:rFonts w:eastAsia="DengXian"/>
                <w:sz w:val="20"/>
                <w:szCs w:val="20"/>
                <w:lang w:eastAsia="zh-CN"/>
              </w:rPr>
              <w:t>Annualized Growth Rate of CPI </w:t>
            </w:r>
          </w:p>
        </w:tc>
        <w:tc>
          <w:tcPr>
            <w:tcW w:w="1183" w:type="dxa"/>
            <w:shd w:val="clear" w:color="auto" w:fill="auto"/>
            <w:noWrap/>
            <w:vAlign w:val="bottom"/>
            <w:hideMark/>
          </w:tcPr>
          <w:p w14:paraId="1C159C48" w14:textId="77777777" w:rsidR="00D73D5C" w:rsidRPr="00024E1E" w:rsidRDefault="00D73D5C"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0.005***</w:t>
            </w:r>
          </w:p>
        </w:tc>
        <w:tc>
          <w:tcPr>
            <w:tcW w:w="1183" w:type="dxa"/>
            <w:shd w:val="clear" w:color="auto" w:fill="auto"/>
            <w:noWrap/>
            <w:vAlign w:val="bottom"/>
            <w:hideMark/>
          </w:tcPr>
          <w:p w14:paraId="041934CD" w14:textId="77777777" w:rsidR="00D73D5C" w:rsidRPr="00024E1E" w:rsidRDefault="00D73D5C"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0.002</w:t>
            </w:r>
          </w:p>
        </w:tc>
        <w:tc>
          <w:tcPr>
            <w:tcW w:w="1183" w:type="dxa"/>
            <w:shd w:val="clear" w:color="auto" w:fill="auto"/>
            <w:noWrap/>
            <w:vAlign w:val="bottom"/>
            <w:hideMark/>
          </w:tcPr>
          <w:p w14:paraId="560B4A41" w14:textId="77777777" w:rsidR="00D73D5C" w:rsidRPr="00024E1E" w:rsidRDefault="00D73D5C"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0.003</w:t>
            </w:r>
          </w:p>
        </w:tc>
        <w:tc>
          <w:tcPr>
            <w:tcW w:w="1183" w:type="dxa"/>
            <w:shd w:val="clear" w:color="auto" w:fill="auto"/>
            <w:noWrap/>
            <w:vAlign w:val="bottom"/>
            <w:hideMark/>
          </w:tcPr>
          <w:p w14:paraId="0A2C78C8" w14:textId="77777777" w:rsidR="00D73D5C" w:rsidRPr="00024E1E" w:rsidRDefault="00D73D5C"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0.006</w:t>
            </w:r>
          </w:p>
        </w:tc>
      </w:tr>
      <w:tr w:rsidR="00D73D5C" w:rsidRPr="007D4961" w14:paraId="1383DB9E" w14:textId="77777777" w:rsidTr="00024E1E">
        <w:trPr>
          <w:trHeight w:val="20"/>
          <w:jc w:val="center"/>
        </w:trPr>
        <w:tc>
          <w:tcPr>
            <w:tcW w:w="4410" w:type="dxa"/>
            <w:vMerge/>
            <w:shd w:val="clear" w:color="auto" w:fill="auto"/>
            <w:noWrap/>
            <w:hideMark/>
          </w:tcPr>
          <w:p w14:paraId="297CD3F0" w14:textId="1B61545A" w:rsidR="00D73D5C" w:rsidRPr="00024E1E" w:rsidRDefault="00D73D5C" w:rsidP="00024E1E">
            <w:pPr>
              <w:spacing w:after="160" w:line="240" w:lineRule="auto"/>
              <w:ind w:firstLine="0"/>
              <w:contextualSpacing/>
              <w:jc w:val="left"/>
              <w:rPr>
                <w:rFonts w:eastAsia="DengXian"/>
                <w:sz w:val="20"/>
                <w:szCs w:val="20"/>
                <w:lang w:eastAsia="zh-CN"/>
              </w:rPr>
            </w:pPr>
          </w:p>
        </w:tc>
        <w:tc>
          <w:tcPr>
            <w:tcW w:w="1183" w:type="dxa"/>
            <w:shd w:val="clear" w:color="auto" w:fill="auto"/>
            <w:noWrap/>
            <w:vAlign w:val="bottom"/>
            <w:hideMark/>
          </w:tcPr>
          <w:p w14:paraId="34DB690B" w14:textId="77777777" w:rsidR="00D73D5C" w:rsidRPr="00024E1E" w:rsidRDefault="00D73D5C"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(0.002)</w:t>
            </w:r>
          </w:p>
        </w:tc>
        <w:tc>
          <w:tcPr>
            <w:tcW w:w="1183" w:type="dxa"/>
            <w:shd w:val="clear" w:color="auto" w:fill="auto"/>
            <w:noWrap/>
            <w:vAlign w:val="bottom"/>
            <w:hideMark/>
          </w:tcPr>
          <w:p w14:paraId="60599014" w14:textId="77777777" w:rsidR="00D73D5C" w:rsidRPr="00024E1E" w:rsidRDefault="00D73D5C"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(0.004)</w:t>
            </w:r>
          </w:p>
        </w:tc>
        <w:tc>
          <w:tcPr>
            <w:tcW w:w="1183" w:type="dxa"/>
            <w:shd w:val="clear" w:color="auto" w:fill="auto"/>
            <w:noWrap/>
            <w:vAlign w:val="bottom"/>
            <w:hideMark/>
          </w:tcPr>
          <w:p w14:paraId="66F93B3C" w14:textId="77777777" w:rsidR="00D73D5C" w:rsidRPr="00024E1E" w:rsidRDefault="00D73D5C"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(0.004)</w:t>
            </w:r>
          </w:p>
        </w:tc>
        <w:tc>
          <w:tcPr>
            <w:tcW w:w="1183" w:type="dxa"/>
            <w:shd w:val="clear" w:color="auto" w:fill="auto"/>
            <w:noWrap/>
            <w:vAlign w:val="bottom"/>
            <w:hideMark/>
          </w:tcPr>
          <w:p w14:paraId="02626330" w14:textId="77777777" w:rsidR="00D73D5C" w:rsidRPr="00024E1E" w:rsidRDefault="00D73D5C"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(0.004)</w:t>
            </w:r>
          </w:p>
        </w:tc>
      </w:tr>
      <w:tr w:rsidR="00A9589B" w:rsidRPr="007D4961" w14:paraId="63CC3185" w14:textId="77777777" w:rsidTr="00024E1E">
        <w:trPr>
          <w:trHeight w:val="20"/>
          <w:jc w:val="center"/>
        </w:trPr>
        <w:tc>
          <w:tcPr>
            <w:tcW w:w="4410" w:type="dxa"/>
            <w:vMerge w:val="restart"/>
            <w:shd w:val="clear" w:color="auto" w:fill="auto"/>
            <w:noWrap/>
            <w:hideMark/>
          </w:tcPr>
          <w:p w14:paraId="448CF233" w14:textId="34167E21" w:rsidR="00A9589B" w:rsidRPr="00024E1E" w:rsidRDefault="00A9589B" w:rsidP="00024E1E">
            <w:pPr>
              <w:spacing w:after="160" w:line="240" w:lineRule="auto"/>
              <w:ind w:left="144" w:hanging="144"/>
              <w:contextualSpacing/>
              <w:jc w:val="left"/>
              <w:rPr>
                <w:rFonts w:eastAsia="DengXian"/>
                <w:sz w:val="20"/>
                <w:szCs w:val="20"/>
                <w:lang w:eastAsia="zh-CN"/>
              </w:rPr>
            </w:pPr>
            <w:r w:rsidRPr="00024E1E">
              <w:rPr>
                <w:rFonts w:eastAsia="DengXian"/>
                <w:sz w:val="20"/>
                <w:szCs w:val="20"/>
                <w:lang w:eastAsia="zh-CN"/>
              </w:rPr>
              <w:t>Civilian Unemployment Rate </w:t>
            </w:r>
          </w:p>
        </w:tc>
        <w:tc>
          <w:tcPr>
            <w:tcW w:w="1183" w:type="dxa"/>
            <w:shd w:val="clear" w:color="auto" w:fill="auto"/>
            <w:noWrap/>
            <w:vAlign w:val="bottom"/>
            <w:hideMark/>
          </w:tcPr>
          <w:p w14:paraId="6E34690A" w14:textId="77777777" w:rsidR="00A9589B" w:rsidRPr="00024E1E" w:rsidRDefault="00A9589B"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-0.003</w:t>
            </w:r>
          </w:p>
        </w:tc>
        <w:tc>
          <w:tcPr>
            <w:tcW w:w="1183" w:type="dxa"/>
            <w:shd w:val="clear" w:color="auto" w:fill="auto"/>
            <w:noWrap/>
            <w:vAlign w:val="bottom"/>
            <w:hideMark/>
          </w:tcPr>
          <w:p w14:paraId="6BAE8EA7" w14:textId="77777777" w:rsidR="00A9589B" w:rsidRPr="00024E1E" w:rsidRDefault="00A9589B"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-0.026***</w:t>
            </w:r>
          </w:p>
        </w:tc>
        <w:tc>
          <w:tcPr>
            <w:tcW w:w="1183" w:type="dxa"/>
            <w:shd w:val="clear" w:color="auto" w:fill="auto"/>
            <w:noWrap/>
            <w:vAlign w:val="bottom"/>
            <w:hideMark/>
          </w:tcPr>
          <w:p w14:paraId="22A39DC6" w14:textId="77777777" w:rsidR="00A9589B" w:rsidRPr="00024E1E" w:rsidRDefault="00A9589B"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-0.027***</w:t>
            </w:r>
          </w:p>
        </w:tc>
        <w:tc>
          <w:tcPr>
            <w:tcW w:w="1183" w:type="dxa"/>
            <w:shd w:val="clear" w:color="auto" w:fill="auto"/>
            <w:noWrap/>
            <w:vAlign w:val="bottom"/>
            <w:hideMark/>
          </w:tcPr>
          <w:p w14:paraId="79E86734" w14:textId="77777777" w:rsidR="00A9589B" w:rsidRPr="00024E1E" w:rsidRDefault="00A9589B"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-0.019**</w:t>
            </w:r>
          </w:p>
        </w:tc>
      </w:tr>
      <w:tr w:rsidR="00A9589B" w:rsidRPr="007D4961" w14:paraId="517D0547" w14:textId="77777777" w:rsidTr="00024E1E">
        <w:trPr>
          <w:trHeight w:val="20"/>
          <w:jc w:val="center"/>
        </w:trPr>
        <w:tc>
          <w:tcPr>
            <w:tcW w:w="4410" w:type="dxa"/>
            <w:vMerge/>
            <w:shd w:val="clear" w:color="auto" w:fill="auto"/>
            <w:noWrap/>
            <w:hideMark/>
          </w:tcPr>
          <w:p w14:paraId="2B94B06E" w14:textId="33DAF58D" w:rsidR="00A9589B" w:rsidRPr="00024E1E" w:rsidRDefault="00A9589B" w:rsidP="00024E1E">
            <w:pPr>
              <w:spacing w:after="160" w:line="240" w:lineRule="auto"/>
              <w:ind w:firstLine="0"/>
              <w:contextualSpacing/>
              <w:jc w:val="left"/>
              <w:rPr>
                <w:rFonts w:eastAsia="DengXian"/>
                <w:sz w:val="20"/>
                <w:szCs w:val="20"/>
                <w:lang w:eastAsia="zh-CN"/>
              </w:rPr>
            </w:pPr>
          </w:p>
        </w:tc>
        <w:tc>
          <w:tcPr>
            <w:tcW w:w="1183" w:type="dxa"/>
            <w:shd w:val="clear" w:color="auto" w:fill="auto"/>
            <w:noWrap/>
            <w:vAlign w:val="bottom"/>
            <w:hideMark/>
          </w:tcPr>
          <w:p w14:paraId="02414222" w14:textId="77777777" w:rsidR="00A9589B" w:rsidRPr="00024E1E" w:rsidRDefault="00A9589B"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(0.004)</w:t>
            </w:r>
          </w:p>
        </w:tc>
        <w:tc>
          <w:tcPr>
            <w:tcW w:w="1183" w:type="dxa"/>
            <w:shd w:val="clear" w:color="auto" w:fill="auto"/>
            <w:noWrap/>
            <w:vAlign w:val="bottom"/>
            <w:hideMark/>
          </w:tcPr>
          <w:p w14:paraId="1C92C17C" w14:textId="77777777" w:rsidR="00A9589B" w:rsidRPr="00024E1E" w:rsidRDefault="00A9589B"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(0.008)</w:t>
            </w:r>
          </w:p>
        </w:tc>
        <w:tc>
          <w:tcPr>
            <w:tcW w:w="1183" w:type="dxa"/>
            <w:shd w:val="clear" w:color="auto" w:fill="auto"/>
            <w:noWrap/>
            <w:vAlign w:val="bottom"/>
            <w:hideMark/>
          </w:tcPr>
          <w:p w14:paraId="45156F31" w14:textId="77777777" w:rsidR="00A9589B" w:rsidRPr="00024E1E" w:rsidRDefault="00A9589B"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(0.008)</w:t>
            </w:r>
          </w:p>
        </w:tc>
        <w:tc>
          <w:tcPr>
            <w:tcW w:w="1183" w:type="dxa"/>
            <w:shd w:val="clear" w:color="auto" w:fill="auto"/>
            <w:noWrap/>
            <w:vAlign w:val="bottom"/>
            <w:hideMark/>
          </w:tcPr>
          <w:p w14:paraId="62577DAB" w14:textId="77777777" w:rsidR="00A9589B" w:rsidRPr="00024E1E" w:rsidRDefault="00A9589B"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(0.009)</w:t>
            </w:r>
          </w:p>
        </w:tc>
      </w:tr>
      <w:tr w:rsidR="009D469E" w:rsidRPr="007D4961" w14:paraId="1AEA8CAA" w14:textId="77777777" w:rsidTr="00024E1E">
        <w:trPr>
          <w:trHeight w:val="20"/>
          <w:jc w:val="center"/>
        </w:trPr>
        <w:tc>
          <w:tcPr>
            <w:tcW w:w="4410" w:type="dxa"/>
            <w:shd w:val="clear" w:color="auto" w:fill="auto"/>
            <w:noWrap/>
            <w:hideMark/>
          </w:tcPr>
          <w:p w14:paraId="44404DCF"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Time</w:t>
            </w:r>
          </w:p>
        </w:tc>
        <w:tc>
          <w:tcPr>
            <w:tcW w:w="1183" w:type="dxa"/>
            <w:shd w:val="clear" w:color="auto" w:fill="auto"/>
            <w:noWrap/>
            <w:vAlign w:val="bottom"/>
            <w:hideMark/>
          </w:tcPr>
          <w:p w14:paraId="71F5CFF1"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0.000***</w:t>
            </w:r>
          </w:p>
        </w:tc>
        <w:tc>
          <w:tcPr>
            <w:tcW w:w="1183" w:type="dxa"/>
            <w:shd w:val="clear" w:color="auto" w:fill="auto"/>
            <w:noWrap/>
            <w:vAlign w:val="bottom"/>
            <w:hideMark/>
          </w:tcPr>
          <w:p w14:paraId="7E375745"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0.001***</w:t>
            </w:r>
          </w:p>
        </w:tc>
        <w:tc>
          <w:tcPr>
            <w:tcW w:w="1183" w:type="dxa"/>
            <w:shd w:val="clear" w:color="auto" w:fill="auto"/>
            <w:noWrap/>
            <w:vAlign w:val="bottom"/>
            <w:hideMark/>
          </w:tcPr>
          <w:p w14:paraId="2C1BE2AF"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0.001***</w:t>
            </w:r>
          </w:p>
        </w:tc>
        <w:tc>
          <w:tcPr>
            <w:tcW w:w="1183" w:type="dxa"/>
            <w:shd w:val="clear" w:color="auto" w:fill="auto"/>
            <w:noWrap/>
            <w:vAlign w:val="bottom"/>
            <w:hideMark/>
          </w:tcPr>
          <w:p w14:paraId="44D42DB7"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0.002***</w:t>
            </w:r>
          </w:p>
        </w:tc>
      </w:tr>
      <w:tr w:rsidR="009D469E" w:rsidRPr="007D4961" w14:paraId="549A50CB" w14:textId="77777777" w:rsidTr="00024E1E">
        <w:trPr>
          <w:trHeight w:val="20"/>
          <w:jc w:val="center"/>
        </w:trPr>
        <w:tc>
          <w:tcPr>
            <w:tcW w:w="4410" w:type="dxa"/>
            <w:shd w:val="clear" w:color="auto" w:fill="auto"/>
            <w:noWrap/>
            <w:hideMark/>
          </w:tcPr>
          <w:p w14:paraId="33231EAA"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 </w:t>
            </w:r>
          </w:p>
        </w:tc>
        <w:tc>
          <w:tcPr>
            <w:tcW w:w="1183" w:type="dxa"/>
            <w:shd w:val="clear" w:color="auto" w:fill="auto"/>
            <w:noWrap/>
            <w:vAlign w:val="bottom"/>
            <w:hideMark/>
          </w:tcPr>
          <w:p w14:paraId="655C2F7B"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(0.000)</w:t>
            </w:r>
          </w:p>
        </w:tc>
        <w:tc>
          <w:tcPr>
            <w:tcW w:w="1183" w:type="dxa"/>
            <w:shd w:val="clear" w:color="auto" w:fill="auto"/>
            <w:noWrap/>
            <w:vAlign w:val="bottom"/>
            <w:hideMark/>
          </w:tcPr>
          <w:p w14:paraId="1C9665B7"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(0.000)</w:t>
            </w:r>
          </w:p>
        </w:tc>
        <w:tc>
          <w:tcPr>
            <w:tcW w:w="1183" w:type="dxa"/>
            <w:shd w:val="clear" w:color="auto" w:fill="auto"/>
            <w:noWrap/>
            <w:vAlign w:val="bottom"/>
            <w:hideMark/>
          </w:tcPr>
          <w:p w14:paraId="50C8E3C3"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(0.000)</w:t>
            </w:r>
          </w:p>
        </w:tc>
        <w:tc>
          <w:tcPr>
            <w:tcW w:w="1183" w:type="dxa"/>
            <w:shd w:val="clear" w:color="auto" w:fill="auto"/>
            <w:noWrap/>
            <w:vAlign w:val="bottom"/>
            <w:hideMark/>
          </w:tcPr>
          <w:p w14:paraId="45D69837"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(0.000)</w:t>
            </w:r>
          </w:p>
        </w:tc>
      </w:tr>
      <w:tr w:rsidR="009D469E" w:rsidRPr="007D4961" w14:paraId="4E2D9FA7" w14:textId="77777777" w:rsidTr="00024E1E">
        <w:trPr>
          <w:trHeight w:val="20"/>
          <w:jc w:val="center"/>
        </w:trPr>
        <w:tc>
          <w:tcPr>
            <w:tcW w:w="4410" w:type="dxa"/>
            <w:shd w:val="clear" w:color="auto" w:fill="auto"/>
            <w:noWrap/>
            <w:hideMark/>
          </w:tcPr>
          <w:p w14:paraId="3F1A5B48"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Lag 1 of INFL</w:t>
            </w:r>
          </w:p>
        </w:tc>
        <w:tc>
          <w:tcPr>
            <w:tcW w:w="1183" w:type="dxa"/>
            <w:shd w:val="clear" w:color="auto" w:fill="auto"/>
            <w:noWrap/>
            <w:vAlign w:val="bottom"/>
            <w:hideMark/>
          </w:tcPr>
          <w:p w14:paraId="712CA355"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0.346***</w:t>
            </w:r>
          </w:p>
        </w:tc>
        <w:tc>
          <w:tcPr>
            <w:tcW w:w="1183" w:type="dxa"/>
            <w:shd w:val="clear" w:color="auto" w:fill="auto"/>
            <w:noWrap/>
            <w:vAlign w:val="bottom"/>
            <w:hideMark/>
          </w:tcPr>
          <w:p w14:paraId="5882ED56"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0.287***</w:t>
            </w:r>
          </w:p>
        </w:tc>
        <w:tc>
          <w:tcPr>
            <w:tcW w:w="1183" w:type="dxa"/>
            <w:shd w:val="clear" w:color="auto" w:fill="auto"/>
            <w:noWrap/>
            <w:vAlign w:val="bottom"/>
            <w:hideMark/>
          </w:tcPr>
          <w:p w14:paraId="31D7E704"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0.269***</w:t>
            </w:r>
          </w:p>
        </w:tc>
        <w:tc>
          <w:tcPr>
            <w:tcW w:w="1183" w:type="dxa"/>
            <w:shd w:val="clear" w:color="auto" w:fill="auto"/>
            <w:noWrap/>
            <w:vAlign w:val="bottom"/>
            <w:hideMark/>
          </w:tcPr>
          <w:p w14:paraId="42C65813"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0.250***</w:t>
            </w:r>
          </w:p>
        </w:tc>
      </w:tr>
      <w:tr w:rsidR="009D469E" w:rsidRPr="007D4961" w14:paraId="5DB9FDF0" w14:textId="77777777" w:rsidTr="00024E1E">
        <w:trPr>
          <w:trHeight w:val="20"/>
          <w:jc w:val="center"/>
        </w:trPr>
        <w:tc>
          <w:tcPr>
            <w:tcW w:w="4410" w:type="dxa"/>
            <w:shd w:val="clear" w:color="auto" w:fill="auto"/>
            <w:noWrap/>
            <w:hideMark/>
          </w:tcPr>
          <w:p w14:paraId="47529FD6"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 </w:t>
            </w:r>
          </w:p>
        </w:tc>
        <w:tc>
          <w:tcPr>
            <w:tcW w:w="1183" w:type="dxa"/>
            <w:shd w:val="clear" w:color="auto" w:fill="auto"/>
            <w:noWrap/>
            <w:vAlign w:val="bottom"/>
            <w:hideMark/>
          </w:tcPr>
          <w:p w14:paraId="47CAAA3C"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(0.049)</w:t>
            </w:r>
          </w:p>
        </w:tc>
        <w:tc>
          <w:tcPr>
            <w:tcW w:w="1183" w:type="dxa"/>
            <w:shd w:val="clear" w:color="auto" w:fill="auto"/>
            <w:noWrap/>
            <w:vAlign w:val="bottom"/>
            <w:hideMark/>
          </w:tcPr>
          <w:p w14:paraId="44F1A34D"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(0.049)</w:t>
            </w:r>
          </w:p>
        </w:tc>
        <w:tc>
          <w:tcPr>
            <w:tcW w:w="1183" w:type="dxa"/>
            <w:shd w:val="clear" w:color="auto" w:fill="auto"/>
            <w:noWrap/>
            <w:vAlign w:val="bottom"/>
            <w:hideMark/>
          </w:tcPr>
          <w:p w14:paraId="0512A335"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(0.049)</w:t>
            </w:r>
          </w:p>
        </w:tc>
        <w:tc>
          <w:tcPr>
            <w:tcW w:w="1183" w:type="dxa"/>
            <w:shd w:val="clear" w:color="auto" w:fill="auto"/>
            <w:noWrap/>
            <w:vAlign w:val="bottom"/>
            <w:hideMark/>
          </w:tcPr>
          <w:p w14:paraId="370BE0C0"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(0.050)</w:t>
            </w:r>
          </w:p>
        </w:tc>
      </w:tr>
      <w:tr w:rsidR="009D469E" w:rsidRPr="007D4961" w14:paraId="7C550A76" w14:textId="77777777" w:rsidTr="00024E1E">
        <w:trPr>
          <w:trHeight w:val="20"/>
          <w:jc w:val="center"/>
        </w:trPr>
        <w:tc>
          <w:tcPr>
            <w:tcW w:w="4410" w:type="dxa"/>
            <w:shd w:val="clear" w:color="auto" w:fill="auto"/>
            <w:noWrap/>
            <w:hideMark/>
          </w:tcPr>
          <w:p w14:paraId="434FD85F"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Lag 2 of INFL</w:t>
            </w:r>
          </w:p>
        </w:tc>
        <w:tc>
          <w:tcPr>
            <w:tcW w:w="1183" w:type="dxa"/>
            <w:shd w:val="clear" w:color="auto" w:fill="auto"/>
            <w:noWrap/>
            <w:vAlign w:val="bottom"/>
            <w:hideMark/>
          </w:tcPr>
          <w:p w14:paraId="692C9BD6"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0.191***</w:t>
            </w:r>
          </w:p>
        </w:tc>
        <w:tc>
          <w:tcPr>
            <w:tcW w:w="1183" w:type="dxa"/>
            <w:shd w:val="clear" w:color="auto" w:fill="auto"/>
            <w:noWrap/>
            <w:vAlign w:val="bottom"/>
            <w:hideMark/>
          </w:tcPr>
          <w:p w14:paraId="6F634D16"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0.140***</w:t>
            </w:r>
          </w:p>
        </w:tc>
        <w:tc>
          <w:tcPr>
            <w:tcW w:w="1183" w:type="dxa"/>
            <w:shd w:val="clear" w:color="auto" w:fill="auto"/>
            <w:noWrap/>
            <w:vAlign w:val="bottom"/>
            <w:hideMark/>
          </w:tcPr>
          <w:p w14:paraId="4F9137DB"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0.127**</w:t>
            </w:r>
          </w:p>
        </w:tc>
        <w:tc>
          <w:tcPr>
            <w:tcW w:w="1183" w:type="dxa"/>
            <w:shd w:val="clear" w:color="auto" w:fill="auto"/>
            <w:noWrap/>
            <w:vAlign w:val="bottom"/>
            <w:hideMark/>
          </w:tcPr>
          <w:p w14:paraId="1118B7EF"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0.108**</w:t>
            </w:r>
          </w:p>
        </w:tc>
      </w:tr>
      <w:tr w:rsidR="009D469E" w:rsidRPr="007D4961" w14:paraId="08443527" w14:textId="77777777" w:rsidTr="00024E1E">
        <w:trPr>
          <w:trHeight w:val="20"/>
          <w:jc w:val="center"/>
        </w:trPr>
        <w:tc>
          <w:tcPr>
            <w:tcW w:w="4410" w:type="dxa"/>
            <w:shd w:val="clear" w:color="auto" w:fill="auto"/>
            <w:noWrap/>
            <w:hideMark/>
          </w:tcPr>
          <w:p w14:paraId="657F4B5F"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 </w:t>
            </w:r>
          </w:p>
        </w:tc>
        <w:tc>
          <w:tcPr>
            <w:tcW w:w="1183" w:type="dxa"/>
            <w:shd w:val="clear" w:color="auto" w:fill="auto"/>
            <w:noWrap/>
            <w:vAlign w:val="bottom"/>
            <w:hideMark/>
          </w:tcPr>
          <w:p w14:paraId="5F7B7B1D"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(0.052)</w:t>
            </w:r>
          </w:p>
        </w:tc>
        <w:tc>
          <w:tcPr>
            <w:tcW w:w="1183" w:type="dxa"/>
            <w:shd w:val="clear" w:color="auto" w:fill="auto"/>
            <w:noWrap/>
            <w:vAlign w:val="bottom"/>
            <w:hideMark/>
          </w:tcPr>
          <w:p w14:paraId="1F2EEE30"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(0.050)</w:t>
            </w:r>
          </w:p>
        </w:tc>
        <w:tc>
          <w:tcPr>
            <w:tcW w:w="1183" w:type="dxa"/>
            <w:shd w:val="clear" w:color="auto" w:fill="auto"/>
            <w:noWrap/>
            <w:vAlign w:val="bottom"/>
            <w:hideMark/>
          </w:tcPr>
          <w:p w14:paraId="66747B6E"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(0.050)</w:t>
            </w:r>
          </w:p>
        </w:tc>
        <w:tc>
          <w:tcPr>
            <w:tcW w:w="1183" w:type="dxa"/>
            <w:shd w:val="clear" w:color="auto" w:fill="auto"/>
            <w:noWrap/>
            <w:vAlign w:val="bottom"/>
            <w:hideMark/>
          </w:tcPr>
          <w:p w14:paraId="1DB01C8E"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(0.050)</w:t>
            </w:r>
          </w:p>
        </w:tc>
      </w:tr>
      <w:tr w:rsidR="009D469E" w:rsidRPr="007D4961" w14:paraId="48C4F5D9" w14:textId="77777777" w:rsidTr="00024E1E">
        <w:trPr>
          <w:trHeight w:val="20"/>
          <w:jc w:val="center"/>
        </w:trPr>
        <w:tc>
          <w:tcPr>
            <w:tcW w:w="4410" w:type="dxa"/>
            <w:shd w:val="clear" w:color="auto" w:fill="auto"/>
            <w:noWrap/>
            <w:hideMark/>
          </w:tcPr>
          <w:p w14:paraId="3BB7CA2C"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Lag 3 of INFL</w:t>
            </w:r>
          </w:p>
        </w:tc>
        <w:tc>
          <w:tcPr>
            <w:tcW w:w="1183" w:type="dxa"/>
            <w:shd w:val="clear" w:color="auto" w:fill="auto"/>
            <w:noWrap/>
            <w:vAlign w:val="bottom"/>
            <w:hideMark/>
          </w:tcPr>
          <w:p w14:paraId="14D3CBE2"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0.189***</w:t>
            </w:r>
          </w:p>
        </w:tc>
        <w:tc>
          <w:tcPr>
            <w:tcW w:w="1183" w:type="dxa"/>
            <w:shd w:val="clear" w:color="auto" w:fill="auto"/>
            <w:noWrap/>
            <w:vAlign w:val="bottom"/>
            <w:hideMark/>
          </w:tcPr>
          <w:p w14:paraId="1C416509"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0.138***</w:t>
            </w:r>
          </w:p>
        </w:tc>
        <w:tc>
          <w:tcPr>
            <w:tcW w:w="1183" w:type="dxa"/>
            <w:shd w:val="clear" w:color="auto" w:fill="auto"/>
            <w:noWrap/>
            <w:vAlign w:val="bottom"/>
            <w:hideMark/>
          </w:tcPr>
          <w:p w14:paraId="13CDCC22"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0.125***</w:t>
            </w:r>
          </w:p>
        </w:tc>
        <w:tc>
          <w:tcPr>
            <w:tcW w:w="1183" w:type="dxa"/>
            <w:shd w:val="clear" w:color="auto" w:fill="auto"/>
            <w:noWrap/>
            <w:vAlign w:val="bottom"/>
            <w:hideMark/>
          </w:tcPr>
          <w:p w14:paraId="591D013A"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0.103**</w:t>
            </w:r>
          </w:p>
        </w:tc>
      </w:tr>
      <w:tr w:rsidR="009D469E" w:rsidRPr="007D4961" w14:paraId="589B9ABA" w14:textId="77777777" w:rsidTr="00024E1E">
        <w:trPr>
          <w:trHeight w:val="20"/>
          <w:jc w:val="center"/>
        </w:trPr>
        <w:tc>
          <w:tcPr>
            <w:tcW w:w="4410" w:type="dxa"/>
            <w:shd w:val="clear" w:color="auto" w:fill="auto"/>
            <w:noWrap/>
            <w:hideMark/>
          </w:tcPr>
          <w:p w14:paraId="47184F43"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 </w:t>
            </w:r>
          </w:p>
        </w:tc>
        <w:tc>
          <w:tcPr>
            <w:tcW w:w="1183" w:type="dxa"/>
            <w:shd w:val="clear" w:color="auto" w:fill="auto"/>
            <w:noWrap/>
            <w:vAlign w:val="bottom"/>
            <w:hideMark/>
          </w:tcPr>
          <w:p w14:paraId="0AA5977B"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(0.044)</w:t>
            </w:r>
          </w:p>
        </w:tc>
        <w:tc>
          <w:tcPr>
            <w:tcW w:w="1183" w:type="dxa"/>
            <w:shd w:val="clear" w:color="auto" w:fill="auto"/>
            <w:noWrap/>
            <w:vAlign w:val="bottom"/>
            <w:hideMark/>
          </w:tcPr>
          <w:p w14:paraId="0DB110DE"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(0.044)</w:t>
            </w:r>
          </w:p>
        </w:tc>
        <w:tc>
          <w:tcPr>
            <w:tcW w:w="1183" w:type="dxa"/>
            <w:shd w:val="clear" w:color="auto" w:fill="auto"/>
            <w:noWrap/>
            <w:vAlign w:val="bottom"/>
            <w:hideMark/>
          </w:tcPr>
          <w:p w14:paraId="5CE0DD8D"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(0.044)</w:t>
            </w:r>
          </w:p>
        </w:tc>
        <w:tc>
          <w:tcPr>
            <w:tcW w:w="1183" w:type="dxa"/>
            <w:shd w:val="clear" w:color="auto" w:fill="auto"/>
            <w:noWrap/>
            <w:vAlign w:val="bottom"/>
            <w:hideMark/>
          </w:tcPr>
          <w:p w14:paraId="39A0604F"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(0.044)</w:t>
            </w:r>
          </w:p>
        </w:tc>
      </w:tr>
      <w:tr w:rsidR="009D469E" w:rsidRPr="007D4961" w14:paraId="2B2F3A9A" w14:textId="77777777" w:rsidTr="00024E1E">
        <w:trPr>
          <w:trHeight w:val="20"/>
          <w:jc w:val="center"/>
        </w:trPr>
        <w:tc>
          <w:tcPr>
            <w:tcW w:w="4410" w:type="dxa"/>
            <w:shd w:val="clear" w:color="auto" w:fill="auto"/>
            <w:noWrap/>
            <w:hideMark/>
          </w:tcPr>
          <w:p w14:paraId="648BBE37"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Break (Volcker and beyond=1)</w:t>
            </w:r>
          </w:p>
        </w:tc>
        <w:tc>
          <w:tcPr>
            <w:tcW w:w="1183" w:type="dxa"/>
            <w:shd w:val="clear" w:color="auto" w:fill="auto"/>
            <w:noWrap/>
            <w:vAlign w:val="bottom"/>
            <w:hideMark/>
          </w:tcPr>
          <w:p w14:paraId="600D2C5B"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746B79DE"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0.162**</w:t>
            </w:r>
          </w:p>
        </w:tc>
        <w:tc>
          <w:tcPr>
            <w:tcW w:w="1183" w:type="dxa"/>
            <w:shd w:val="clear" w:color="auto" w:fill="auto"/>
            <w:noWrap/>
            <w:vAlign w:val="bottom"/>
            <w:hideMark/>
          </w:tcPr>
          <w:p w14:paraId="5A2F3F8B"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0.305***</w:t>
            </w:r>
          </w:p>
        </w:tc>
        <w:tc>
          <w:tcPr>
            <w:tcW w:w="1183" w:type="dxa"/>
            <w:shd w:val="clear" w:color="auto" w:fill="auto"/>
            <w:noWrap/>
            <w:vAlign w:val="bottom"/>
            <w:hideMark/>
          </w:tcPr>
          <w:p w14:paraId="61A5A81D" w14:textId="0A30AEE6" w:rsidR="009D469E" w:rsidRPr="00024E1E" w:rsidRDefault="009D469E" w:rsidP="00024E1E">
            <w:pPr>
              <w:spacing w:after="160" w:line="240" w:lineRule="auto"/>
              <w:ind w:firstLine="0"/>
              <w:contextualSpacing/>
              <w:jc w:val="right"/>
              <w:rPr>
                <w:rFonts w:eastAsia="DengXian"/>
                <w:sz w:val="20"/>
                <w:szCs w:val="20"/>
                <w:lang w:eastAsia="zh-CN"/>
              </w:rPr>
            </w:pPr>
          </w:p>
        </w:tc>
      </w:tr>
      <w:tr w:rsidR="009D469E" w:rsidRPr="007D4961" w14:paraId="07FBFC2A" w14:textId="77777777" w:rsidTr="00024E1E">
        <w:trPr>
          <w:trHeight w:val="20"/>
          <w:jc w:val="center"/>
        </w:trPr>
        <w:tc>
          <w:tcPr>
            <w:tcW w:w="4410" w:type="dxa"/>
            <w:shd w:val="clear" w:color="auto" w:fill="auto"/>
            <w:noWrap/>
            <w:hideMark/>
          </w:tcPr>
          <w:p w14:paraId="4DE7E629"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 </w:t>
            </w:r>
          </w:p>
        </w:tc>
        <w:tc>
          <w:tcPr>
            <w:tcW w:w="1183" w:type="dxa"/>
            <w:shd w:val="clear" w:color="auto" w:fill="auto"/>
            <w:noWrap/>
            <w:vAlign w:val="bottom"/>
            <w:hideMark/>
          </w:tcPr>
          <w:p w14:paraId="54757FEB"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3AB95016"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(0.066)</w:t>
            </w:r>
          </w:p>
        </w:tc>
        <w:tc>
          <w:tcPr>
            <w:tcW w:w="1183" w:type="dxa"/>
            <w:shd w:val="clear" w:color="auto" w:fill="auto"/>
            <w:noWrap/>
            <w:vAlign w:val="bottom"/>
            <w:hideMark/>
          </w:tcPr>
          <w:p w14:paraId="72421D2D"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(0.087)</w:t>
            </w:r>
          </w:p>
        </w:tc>
        <w:tc>
          <w:tcPr>
            <w:tcW w:w="1183" w:type="dxa"/>
            <w:shd w:val="clear" w:color="auto" w:fill="auto"/>
            <w:noWrap/>
            <w:vAlign w:val="bottom"/>
            <w:hideMark/>
          </w:tcPr>
          <w:p w14:paraId="6D664899" w14:textId="08B26A7A" w:rsidR="009D469E" w:rsidRPr="00024E1E" w:rsidRDefault="009D469E" w:rsidP="00024E1E">
            <w:pPr>
              <w:spacing w:after="160" w:line="240" w:lineRule="auto"/>
              <w:ind w:firstLine="0"/>
              <w:contextualSpacing/>
              <w:jc w:val="right"/>
              <w:rPr>
                <w:rFonts w:eastAsia="DengXian"/>
                <w:sz w:val="20"/>
                <w:szCs w:val="20"/>
                <w:lang w:eastAsia="zh-CN"/>
              </w:rPr>
            </w:pPr>
          </w:p>
        </w:tc>
      </w:tr>
      <w:tr w:rsidR="009D469E" w:rsidRPr="007D4961" w14:paraId="1D3F06F6" w14:textId="77777777" w:rsidTr="00024E1E">
        <w:trPr>
          <w:trHeight w:val="20"/>
          <w:jc w:val="center"/>
        </w:trPr>
        <w:tc>
          <w:tcPr>
            <w:tcW w:w="4410" w:type="dxa"/>
            <w:shd w:val="clear" w:color="auto" w:fill="auto"/>
            <w:noWrap/>
            <w:hideMark/>
          </w:tcPr>
          <w:p w14:paraId="69057DFE" w14:textId="3B505FD6"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Break</w:t>
            </w:r>
            <w:r w:rsidR="00785671">
              <w:rPr>
                <w:rFonts w:eastAsia="DengXian"/>
                <w:sz w:val="20"/>
                <w:szCs w:val="20"/>
                <w:lang w:eastAsia="zh-CN"/>
              </w:rPr>
              <w:t xml:space="preserve"> </w:t>
            </w:r>
            <w:r w:rsidRPr="00024E1E">
              <w:rPr>
                <w:rFonts w:eastAsia="DengXian"/>
                <w:sz w:val="20"/>
                <w:szCs w:val="20"/>
                <w:lang w:eastAsia="zh-CN"/>
              </w:rPr>
              <w:t>*</w:t>
            </w:r>
            <w:r w:rsidR="00785671">
              <w:rPr>
                <w:rFonts w:eastAsia="DengXian"/>
                <w:sz w:val="20"/>
                <w:szCs w:val="20"/>
                <w:lang w:eastAsia="zh-CN"/>
              </w:rPr>
              <w:t xml:space="preserve"> </w:t>
            </w:r>
            <w:r w:rsidRPr="00024E1E">
              <w:rPr>
                <w:rFonts w:eastAsia="DengXian"/>
                <w:sz w:val="20"/>
                <w:szCs w:val="20"/>
                <w:lang w:eastAsia="zh-CN"/>
              </w:rPr>
              <w:t>CPI</w:t>
            </w:r>
          </w:p>
        </w:tc>
        <w:tc>
          <w:tcPr>
            <w:tcW w:w="1183" w:type="dxa"/>
            <w:shd w:val="clear" w:color="auto" w:fill="auto"/>
            <w:noWrap/>
            <w:vAlign w:val="bottom"/>
            <w:hideMark/>
          </w:tcPr>
          <w:p w14:paraId="12BF75F5"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561CF512"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-0.001</w:t>
            </w:r>
          </w:p>
        </w:tc>
        <w:tc>
          <w:tcPr>
            <w:tcW w:w="1183" w:type="dxa"/>
            <w:shd w:val="clear" w:color="auto" w:fill="auto"/>
            <w:noWrap/>
            <w:vAlign w:val="bottom"/>
            <w:hideMark/>
          </w:tcPr>
          <w:p w14:paraId="2FF28ECE"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-0.004</w:t>
            </w:r>
          </w:p>
        </w:tc>
        <w:tc>
          <w:tcPr>
            <w:tcW w:w="1183" w:type="dxa"/>
            <w:shd w:val="clear" w:color="auto" w:fill="auto"/>
            <w:noWrap/>
            <w:vAlign w:val="bottom"/>
            <w:hideMark/>
          </w:tcPr>
          <w:p w14:paraId="075D3175"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-0.008</w:t>
            </w:r>
          </w:p>
        </w:tc>
      </w:tr>
      <w:tr w:rsidR="009D469E" w:rsidRPr="007D4961" w14:paraId="717D9496" w14:textId="77777777" w:rsidTr="00024E1E">
        <w:trPr>
          <w:trHeight w:val="20"/>
          <w:jc w:val="center"/>
        </w:trPr>
        <w:tc>
          <w:tcPr>
            <w:tcW w:w="4410" w:type="dxa"/>
            <w:shd w:val="clear" w:color="auto" w:fill="auto"/>
            <w:noWrap/>
            <w:hideMark/>
          </w:tcPr>
          <w:p w14:paraId="15FABA5A"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 </w:t>
            </w:r>
          </w:p>
        </w:tc>
        <w:tc>
          <w:tcPr>
            <w:tcW w:w="1183" w:type="dxa"/>
            <w:shd w:val="clear" w:color="auto" w:fill="auto"/>
            <w:noWrap/>
            <w:vAlign w:val="bottom"/>
            <w:hideMark/>
          </w:tcPr>
          <w:p w14:paraId="4ECBBDE6"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79410B06"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(0.004)</w:t>
            </w:r>
          </w:p>
        </w:tc>
        <w:tc>
          <w:tcPr>
            <w:tcW w:w="1183" w:type="dxa"/>
            <w:shd w:val="clear" w:color="auto" w:fill="auto"/>
            <w:noWrap/>
            <w:vAlign w:val="bottom"/>
            <w:hideMark/>
          </w:tcPr>
          <w:p w14:paraId="4F50E9A7"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(0.005)</w:t>
            </w:r>
          </w:p>
        </w:tc>
        <w:tc>
          <w:tcPr>
            <w:tcW w:w="1183" w:type="dxa"/>
            <w:shd w:val="clear" w:color="auto" w:fill="auto"/>
            <w:noWrap/>
            <w:vAlign w:val="bottom"/>
            <w:hideMark/>
          </w:tcPr>
          <w:p w14:paraId="6E208AE6"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(0.005)</w:t>
            </w:r>
          </w:p>
        </w:tc>
      </w:tr>
      <w:tr w:rsidR="009D469E" w:rsidRPr="007D4961" w14:paraId="2439D8AE" w14:textId="77777777" w:rsidTr="00024E1E">
        <w:trPr>
          <w:trHeight w:val="20"/>
          <w:jc w:val="center"/>
        </w:trPr>
        <w:tc>
          <w:tcPr>
            <w:tcW w:w="4410" w:type="dxa"/>
            <w:shd w:val="clear" w:color="auto" w:fill="auto"/>
            <w:noWrap/>
            <w:hideMark/>
          </w:tcPr>
          <w:p w14:paraId="79BA2238" w14:textId="6DF3230A"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Break</w:t>
            </w:r>
            <w:r w:rsidR="00785671">
              <w:rPr>
                <w:rFonts w:eastAsia="DengXian"/>
                <w:sz w:val="20"/>
                <w:szCs w:val="20"/>
                <w:lang w:eastAsia="zh-CN"/>
              </w:rPr>
              <w:t xml:space="preserve"> </w:t>
            </w:r>
            <w:r w:rsidRPr="00024E1E">
              <w:rPr>
                <w:rFonts w:eastAsia="DengXian"/>
                <w:sz w:val="20"/>
                <w:szCs w:val="20"/>
                <w:lang w:eastAsia="zh-CN"/>
              </w:rPr>
              <w:t>*</w:t>
            </w:r>
            <w:r w:rsidR="00785671">
              <w:rPr>
                <w:rFonts w:eastAsia="DengXian"/>
                <w:sz w:val="20"/>
                <w:szCs w:val="20"/>
                <w:lang w:eastAsia="zh-CN"/>
              </w:rPr>
              <w:t xml:space="preserve"> </w:t>
            </w:r>
            <w:r w:rsidRPr="00024E1E">
              <w:rPr>
                <w:rFonts w:eastAsia="DengXian"/>
                <w:sz w:val="20"/>
                <w:szCs w:val="20"/>
                <w:lang w:eastAsia="zh-CN"/>
              </w:rPr>
              <w:t>Unemployment</w:t>
            </w:r>
          </w:p>
        </w:tc>
        <w:tc>
          <w:tcPr>
            <w:tcW w:w="1183" w:type="dxa"/>
            <w:shd w:val="clear" w:color="auto" w:fill="auto"/>
            <w:noWrap/>
            <w:vAlign w:val="bottom"/>
            <w:hideMark/>
          </w:tcPr>
          <w:p w14:paraId="74BFB58D"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79A4E21F"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0.022***</w:t>
            </w:r>
          </w:p>
        </w:tc>
        <w:tc>
          <w:tcPr>
            <w:tcW w:w="1183" w:type="dxa"/>
            <w:shd w:val="clear" w:color="auto" w:fill="auto"/>
            <w:noWrap/>
            <w:vAlign w:val="bottom"/>
            <w:hideMark/>
          </w:tcPr>
          <w:p w14:paraId="4583C1DD"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0.017*</w:t>
            </w:r>
          </w:p>
        </w:tc>
        <w:tc>
          <w:tcPr>
            <w:tcW w:w="1183" w:type="dxa"/>
            <w:shd w:val="clear" w:color="auto" w:fill="auto"/>
            <w:noWrap/>
            <w:vAlign w:val="bottom"/>
            <w:hideMark/>
          </w:tcPr>
          <w:p w14:paraId="6AB105D6"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0.004</w:t>
            </w:r>
          </w:p>
        </w:tc>
      </w:tr>
      <w:tr w:rsidR="009D469E" w:rsidRPr="007D4961" w14:paraId="1F7DFCCC" w14:textId="77777777" w:rsidTr="00024E1E">
        <w:trPr>
          <w:trHeight w:val="20"/>
          <w:jc w:val="center"/>
        </w:trPr>
        <w:tc>
          <w:tcPr>
            <w:tcW w:w="4410" w:type="dxa"/>
            <w:shd w:val="clear" w:color="auto" w:fill="auto"/>
            <w:noWrap/>
            <w:hideMark/>
          </w:tcPr>
          <w:p w14:paraId="5A3A614D"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 </w:t>
            </w:r>
          </w:p>
        </w:tc>
        <w:tc>
          <w:tcPr>
            <w:tcW w:w="1183" w:type="dxa"/>
            <w:shd w:val="clear" w:color="auto" w:fill="auto"/>
            <w:noWrap/>
            <w:vAlign w:val="bottom"/>
            <w:hideMark/>
          </w:tcPr>
          <w:p w14:paraId="0CB3BBDD"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663ACE8C"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(0.008)</w:t>
            </w:r>
          </w:p>
        </w:tc>
        <w:tc>
          <w:tcPr>
            <w:tcW w:w="1183" w:type="dxa"/>
            <w:shd w:val="clear" w:color="auto" w:fill="auto"/>
            <w:noWrap/>
            <w:vAlign w:val="bottom"/>
            <w:hideMark/>
          </w:tcPr>
          <w:p w14:paraId="7912B2B6"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(0.009)</w:t>
            </w:r>
          </w:p>
        </w:tc>
        <w:tc>
          <w:tcPr>
            <w:tcW w:w="1183" w:type="dxa"/>
            <w:shd w:val="clear" w:color="auto" w:fill="auto"/>
            <w:noWrap/>
            <w:vAlign w:val="bottom"/>
            <w:hideMark/>
          </w:tcPr>
          <w:p w14:paraId="5D5EF8DC"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(0.010)</w:t>
            </w:r>
          </w:p>
        </w:tc>
      </w:tr>
      <w:tr w:rsidR="009D469E" w:rsidRPr="007D4961" w14:paraId="01F2F386" w14:textId="77777777" w:rsidTr="00024E1E">
        <w:trPr>
          <w:trHeight w:val="20"/>
          <w:jc w:val="center"/>
        </w:trPr>
        <w:tc>
          <w:tcPr>
            <w:tcW w:w="4410" w:type="dxa"/>
            <w:shd w:val="clear" w:color="auto" w:fill="auto"/>
            <w:noWrap/>
            <w:hideMark/>
          </w:tcPr>
          <w:p w14:paraId="3F57CEAA" w14:textId="080E413C"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Break</w:t>
            </w:r>
            <w:r w:rsidR="00785671">
              <w:rPr>
                <w:rFonts w:eastAsia="DengXian"/>
                <w:sz w:val="20"/>
                <w:szCs w:val="20"/>
                <w:lang w:eastAsia="zh-CN"/>
              </w:rPr>
              <w:t xml:space="preserve"> </w:t>
            </w:r>
            <w:r w:rsidRPr="00024E1E">
              <w:rPr>
                <w:rFonts w:eastAsia="DengXian"/>
                <w:sz w:val="20"/>
                <w:szCs w:val="20"/>
                <w:lang w:eastAsia="zh-CN"/>
              </w:rPr>
              <w:t>*</w:t>
            </w:r>
            <w:r w:rsidR="00785671">
              <w:rPr>
                <w:rFonts w:eastAsia="DengXian"/>
                <w:sz w:val="20"/>
                <w:szCs w:val="20"/>
                <w:lang w:eastAsia="zh-CN"/>
              </w:rPr>
              <w:t xml:space="preserve"> </w:t>
            </w:r>
            <w:r w:rsidRPr="00024E1E">
              <w:rPr>
                <w:rFonts w:eastAsia="DengXian"/>
                <w:sz w:val="20"/>
                <w:szCs w:val="20"/>
                <w:lang w:eastAsia="zh-CN"/>
              </w:rPr>
              <w:t>Time</w:t>
            </w:r>
          </w:p>
        </w:tc>
        <w:tc>
          <w:tcPr>
            <w:tcW w:w="1183" w:type="dxa"/>
            <w:shd w:val="clear" w:color="auto" w:fill="auto"/>
            <w:noWrap/>
            <w:vAlign w:val="bottom"/>
            <w:hideMark/>
          </w:tcPr>
          <w:p w14:paraId="26A01E36"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67B3B7E9"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-0.001***</w:t>
            </w:r>
          </w:p>
        </w:tc>
        <w:tc>
          <w:tcPr>
            <w:tcW w:w="1183" w:type="dxa"/>
            <w:shd w:val="clear" w:color="auto" w:fill="auto"/>
            <w:noWrap/>
            <w:vAlign w:val="bottom"/>
            <w:hideMark/>
          </w:tcPr>
          <w:p w14:paraId="74A34B9E"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-0.001***</w:t>
            </w:r>
          </w:p>
        </w:tc>
        <w:tc>
          <w:tcPr>
            <w:tcW w:w="1183" w:type="dxa"/>
            <w:shd w:val="clear" w:color="auto" w:fill="auto"/>
            <w:noWrap/>
            <w:vAlign w:val="bottom"/>
            <w:hideMark/>
          </w:tcPr>
          <w:p w14:paraId="3798F4C5"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-0.002***</w:t>
            </w:r>
          </w:p>
        </w:tc>
      </w:tr>
      <w:tr w:rsidR="009D469E" w:rsidRPr="007D4961" w14:paraId="7BAFEAE7" w14:textId="77777777" w:rsidTr="00024E1E">
        <w:trPr>
          <w:trHeight w:val="20"/>
          <w:jc w:val="center"/>
        </w:trPr>
        <w:tc>
          <w:tcPr>
            <w:tcW w:w="4410" w:type="dxa"/>
            <w:shd w:val="clear" w:color="auto" w:fill="auto"/>
            <w:noWrap/>
            <w:hideMark/>
          </w:tcPr>
          <w:p w14:paraId="607519DE"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 </w:t>
            </w:r>
          </w:p>
        </w:tc>
        <w:tc>
          <w:tcPr>
            <w:tcW w:w="1183" w:type="dxa"/>
            <w:shd w:val="clear" w:color="auto" w:fill="auto"/>
            <w:noWrap/>
            <w:vAlign w:val="bottom"/>
            <w:hideMark/>
          </w:tcPr>
          <w:p w14:paraId="076E50B7"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2E1B38A6"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(0.000)</w:t>
            </w:r>
          </w:p>
        </w:tc>
        <w:tc>
          <w:tcPr>
            <w:tcW w:w="1183" w:type="dxa"/>
            <w:shd w:val="clear" w:color="auto" w:fill="auto"/>
            <w:noWrap/>
            <w:vAlign w:val="bottom"/>
            <w:hideMark/>
          </w:tcPr>
          <w:p w14:paraId="65590CAC"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(0.000)</w:t>
            </w:r>
          </w:p>
        </w:tc>
        <w:tc>
          <w:tcPr>
            <w:tcW w:w="1183" w:type="dxa"/>
            <w:shd w:val="clear" w:color="auto" w:fill="auto"/>
            <w:noWrap/>
            <w:vAlign w:val="bottom"/>
            <w:hideMark/>
          </w:tcPr>
          <w:p w14:paraId="2448108E"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(0.000)</w:t>
            </w:r>
          </w:p>
        </w:tc>
      </w:tr>
      <w:tr w:rsidR="009D469E" w:rsidRPr="007D4961" w14:paraId="3C721CF2" w14:textId="77777777" w:rsidTr="00024E1E">
        <w:trPr>
          <w:trHeight w:val="20"/>
          <w:jc w:val="center"/>
        </w:trPr>
        <w:tc>
          <w:tcPr>
            <w:tcW w:w="4410" w:type="dxa"/>
            <w:vMerge w:val="restart"/>
            <w:shd w:val="clear" w:color="auto" w:fill="auto"/>
            <w:noWrap/>
            <w:hideMark/>
          </w:tcPr>
          <w:p w14:paraId="1F9B980C" w14:textId="5DF184F0" w:rsidR="009D469E" w:rsidRPr="00024E1E" w:rsidRDefault="009D469E" w:rsidP="00024E1E">
            <w:pPr>
              <w:spacing w:line="240" w:lineRule="auto"/>
              <w:ind w:left="144" w:hanging="144"/>
              <w:contextualSpacing/>
              <w:jc w:val="left"/>
              <w:rPr>
                <w:rFonts w:eastAsia="DengXian"/>
                <w:sz w:val="20"/>
                <w:szCs w:val="20"/>
                <w:lang w:eastAsia="zh-CN"/>
              </w:rPr>
            </w:pPr>
            <w:r w:rsidRPr="00024E1E">
              <w:rPr>
                <w:rFonts w:eastAsia="DengXian"/>
                <w:sz w:val="20"/>
                <w:szCs w:val="20"/>
                <w:lang w:eastAsia="zh-CN"/>
              </w:rPr>
              <w:t>Proportion of Women among All Members </w:t>
            </w:r>
          </w:p>
        </w:tc>
        <w:tc>
          <w:tcPr>
            <w:tcW w:w="1183" w:type="dxa"/>
            <w:shd w:val="clear" w:color="auto" w:fill="auto"/>
            <w:noWrap/>
            <w:vAlign w:val="bottom"/>
            <w:hideMark/>
          </w:tcPr>
          <w:p w14:paraId="2F24B8F6"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2ED87C7A"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422C1642"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0.339***</w:t>
            </w:r>
          </w:p>
        </w:tc>
        <w:tc>
          <w:tcPr>
            <w:tcW w:w="1183" w:type="dxa"/>
            <w:shd w:val="clear" w:color="auto" w:fill="auto"/>
            <w:noWrap/>
            <w:vAlign w:val="bottom"/>
            <w:hideMark/>
          </w:tcPr>
          <w:p w14:paraId="305EB5D3"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0.438***</w:t>
            </w:r>
          </w:p>
        </w:tc>
      </w:tr>
      <w:tr w:rsidR="009D469E" w:rsidRPr="007D4961" w14:paraId="625A53F9" w14:textId="77777777" w:rsidTr="00024E1E">
        <w:trPr>
          <w:trHeight w:val="20"/>
          <w:jc w:val="center"/>
        </w:trPr>
        <w:tc>
          <w:tcPr>
            <w:tcW w:w="4410" w:type="dxa"/>
            <w:vMerge/>
            <w:shd w:val="clear" w:color="auto" w:fill="auto"/>
            <w:noWrap/>
            <w:hideMark/>
          </w:tcPr>
          <w:p w14:paraId="00CD39B9" w14:textId="77777777" w:rsidR="009D469E" w:rsidRPr="00024E1E" w:rsidRDefault="009D469E" w:rsidP="00024E1E">
            <w:pPr>
              <w:spacing w:line="240" w:lineRule="auto"/>
              <w:ind w:left="144" w:hanging="144"/>
              <w:contextualSpacing/>
              <w:jc w:val="left"/>
              <w:rPr>
                <w:rFonts w:eastAsia="DengXian"/>
                <w:sz w:val="20"/>
                <w:szCs w:val="20"/>
                <w:lang w:eastAsia="zh-CN"/>
              </w:rPr>
            </w:pPr>
          </w:p>
        </w:tc>
        <w:tc>
          <w:tcPr>
            <w:tcW w:w="1183" w:type="dxa"/>
            <w:shd w:val="clear" w:color="auto" w:fill="auto"/>
            <w:noWrap/>
            <w:vAlign w:val="bottom"/>
            <w:hideMark/>
          </w:tcPr>
          <w:p w14:paraId="5C2C1E76"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23996DCF"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50167471"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(0.120)</w:t>
            </w:r>
          </w:p>
        </w:tc>
        <w:tc>
          <w:tcPr>
            <w:tcW w:w="1183" w:type="dxa"/>
            <w:shd w:val="clear" w:color="auto" w:fill="auto"/>
            <w:noWrap/>
            <w:vAlign w:val="bottom"/>
            <w:hideMark/>
          </w:tcPr>
          <w:p w14:paraId="087DEF84"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(0.122)</w:t>
            </w:r>
          </w:p>
        </w:tc>
      </w:tr>
      <w:tr w:rsidR="009D469E" w:rsidRPr="007D4961" w14:paraId="51149634" w14:textId="77777777" w:rsidTr="00024E1E">
        <w:trPr>
          <w:trHeight w:val="20"/>
          <w:jc w:val="center"/>
        </w:trPr>
        <w:tc>
          <w:tcPr>
            <w:tcW w:w="4410" w:type="dxa"/>
            <w:vMerge w:val="restart"/>
            <w:shd w:val="clear" w:color="auto" w:fill="auto"/>
            <w:noWrap/>
            <w:hideMark/>
          </w:tcPr>
          <w:p w14:paraId="450FF326" w14:textId="1585D9EF" w:rsidR="009D469E" w:rsidRPr="00024E1E" w:rsidRDefault="009D469E" w:rsidP="00024E1E">
            <w:pPr>
              <w:spacing w:line="240" w:lineRule="auto"/>
              <w:ind w:left="144" w:hanging="144"/>
              <w:contextualSpacing/>
              <w:jc w:val="left"/>
              <w:rPr>
                <w:rFonts w:eastAsia="DengXian"/>
                <w:sz w:val="20"/>
                <w:szCs w:val="20"/>
                <w:lang w:eastAsia="zh-CN"/>
              </w:rPr>
            </w:pPr>
            <w:r w:rsidRPr="00024E1E">
              <w:rPr>
                <w:rFonts w:eastAsia="DengXian"/>
                <w:sz w:val="20"/>
                <w:szCs w:val="20"/>
                <w:lang w:eastAsia="zh-CN"/>
              </w:rPr>
              <w:t>Proportion of Economics PhD among All Members </w:t>
            </w:r>
          </w:p>
        </w:tc>
        <w:tc>
          <w:tcPr>
            <w:tcW w:w="1183" w:type="dxa"/>
            <w:shd w:val="clear" w:color="auto" w:fill="auto"/>
            <w:noWrap/>
            <w:vAlign w:val="bottom"/>
            <w:hideMark/>
          </w:tcPr>
          <w:p w14:paraId="0FEFE2C2"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00DAD9D0"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66E2AFEA"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-0.203*</w:t>
            </w:r>
          </w:p>
        </w:tc>
        <w:tc>
          <w:tcPr>
            <w:tcW w:w="1183" w:type="dxa"/>
            <w:shd w:val="clear" w:color="auto" w:fill="auto"/>
            <w:noWrap/>
            <w:vAlign w:val="bottom"/>
            <w:hideMark/>
          </w:tcPr>
          <w:p w14:paraId="21839C6C"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-0.131</w:t>
            </w:r>
          </w:p>
        </w:tc>
      </w:tr>
      <w:tr w:rsidR="009D469E" w:rsidRPr="007D4961" w14:paraId="0B74C76A" w14:textId="77777777" w:rsidTr="00024E1E">
        <w:trPr>
          <w:trHeight w:val="20"/>
          <w:jc w:val="center"/>
        </w:trPr>
        <w:tc>
          <w:tcPr>
            <w:tcW w:w="4410" w:type="dxa"/>
            <w:vMerge/>
            <w:shd w:val="clear" w:color="auto" w:fill="auto"/>
            <w:noWrap/>
            <w:hideMark/>
          </w:tcPr>
          <w:p w14:paraId="1DD320DC" w14:textId="77777777" w:rsidR="009D469E" w:rsidRPr="00024E1E" w:rsidRDefault="009D469E" w:rsidP="00024E1E">
            <w:pPr>
              <w:spacing w:line="240" w:lineRule="auto"/>
              <w:ind w:left="144" w:hanging="144"/>
              <w:contextualSpacing/>
              <w:jc w:val="left"/>
              <w:rPr>
                <w:rFonts w:eastAsia="DengXian"/>
                <w:sz w:val="20"/>
                <w:szCs w:val="20"/>
                <w:lang w:eastAsia="zh-CN"/>
              </w:rPr>
            </w:pPr>
          </w:p>
        </w:tc>
        <w:tc>
          <w:tcPr>
            <w:tcW w:w="1183" w:type="dxa"/>
            <w:shd w:val="clear" w:color="auto" w:fill="auto"/>
            <w:noWrap/>
            <w:vAlign w:val="bottom"/>
            <w:hideMark/>
          </w:tcPr>
          <w:p w14:paraId="47A054D7"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6CE3896E"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701C2C2E"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(0.117)</w:t>
            </w:r>
          </w:p>
        </w:tc>
        <w:tc>
          <w:tcPr>
            <w:tcW w:w="1183" w:type="dxa"/>
            <w:shd w:val="clear" w:color="auto" w:fill="auto"/>
            <w:noWrap/>
            <w:vAlign w:val="bottom"/>
            <w:hideMark/>
          </w:tcPr>
          <w:p w14:paraId="03D7DE38"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(0.144)</w:t>
            </w:r>
          </w:p>
        </w:tc>
      </w:tr>
      <w:tr w:rsidR="009D469E" w:rsidRPr="007D4961" w14:paraId="63EE03CA" w14:textId="77777777" w:rsidTr="00024E1E">
        <w:trPr>
          <w:trHeight w:val="20"/>
          <w:jc w:val="center"/>
        </w:trPr>
        <w:tc>
          <w:tcPr>
            <w:tcW w:w="4410" w:type="dxa"/>
            <w:vMerge w:val="restart"/>
            <w:shd w:val="clear" w:color="auto" w:fill="auto"/>
            <w:noWrap/>
            <w:hideMark/>
          </w:tcPr>
          <w:p w14:paraId="618492C3" w14:textId="4B066B22" w:rsidR="009D469E" w:rsidRPr="00024E1E" w:rsidRDefault="009D469E" w:rsidP="00024E1E">
            <w:pPr>
              <w:spacing w:line="240" w:lineRule="auto"/>
              <w:ind w:left="144" w:hanging="144"/>
              <w:contextualSpacing/>
              <w:jc w:val="left"/>
              <w:rPr>
                <w:rFonts w:eastAsia="DengXian"/>
                <w:sz w:val="20"/>
                <w:szCs w:val="20"/>
                <w:lang w:eastAsia="zh-CN"/>
              </w:rPr>
            </w:pPr>
            <w:r w:rsidRPr="00024E1E">
              <w:rPr>
                <w:rFonts w:eastAsia="DengXian"/>
                <w:sz w:val="20"/>
                <w:szCs w:val="20"/>
                <w:lang w:eastAsia="zh-CN"/>
              </w:rPr>
              <w:t>Proportion of Republicans among Governors </w:t>
            </w:r>
          </w:p>
        </w:tc>
        <w:tc>
          <w:tcPr>
            <w:tcW w:w="1183" w:type="dxa"/>
            <w:shd w:val="clear" w:color="auto" w:fill="auto"/>
            <w:noWrap/>
            <w:vAlign w:val="bottom"/>
            <w:hideMark/>
          </w:tcPr>
          <w:p w14:paraId="35FF1AA8"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16AE7461"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3DB35C72"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0.005</w:t>
            </w:r>
          </w:p>
        </w:tc>
        <w:tc>
          <w:tcPr>
            <w:tcW w:w="1183" w:type="dxa"/>
            <w:shd w:val="clear" w:color="auto" w:fill="auto"/>
            <w:noWrap/>
            <w:vAlign w:val="bottom"/>
            <w:hideMark/>
          </w:tcPr>
          <w:p w14:paraId="24EE4587"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-0.034</w:t>
            </w:r>
          </w:p>
        </w:tc>
      </w:tr>
      <w:tr w:rsidR="009D469E" w:rsidRPr="007D4961" w14:paraId="7164D509" w14:textId="77777777" w:rsidTr="00024E1E">
        <w:trPr>
          <w:trHeight w:val="20"/>
          <w:jc w:val="center"/>
        </w:trPr>
        <w:tc>
          <w:tcPr>
            <w:tcW w:w="4410" w:type="dxa"/>
            <w:vMerge/>
            <w:shd w:val="clear" w:color="auto" w:fill="auto"/>
            <w:noWrap/>
            <w:hideMark/>
          </w:tcPr>
          <w:p w14:paraId="3D143B9E" w14:textId="77777777" w:rsidR="009D469E" w:rsidRPr="00024E1E" w:rsidRDefault="009D469E" w:rsidP="00024E1E">
            <w:pPr>
              <w:spacing w:after="160" w:line="240" w:lineRule="auto"/>
              <w:ind w:firstLine="0"/>
              <w:contextualSpacing/>
              <w:jc w:val="left"/>
              <w:rPr>
                <w:rFonts w:eastAsia="DengXian"/>
                <w:sz w:val="20"/>
                <w:szCs w:val="20"/>
                <w:lang w:eastAsia="zh-CN"/>
              </w:rPr>
            </w:pPr>
          </w:p>
        </w:tc>
        <w:tc>
          <w:tcPr>
            <w:tcW w:w="1183" w:type="dxa"/>
            <w:shd w:val="clear" w:color="auto" w:fill="auto"/>
            <w:noWrap/>
            <w:vAlign w:val="bottom"/>
            <w:hideMark/>
          </w:tcPr>
          <w:p w14:paraId="4C3FF111"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4C0FFCC1"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1C606151"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(0.022)</w:t>
            </w:r>
          </w:p>
        </w:tc>
        <w:tc>
          <w:tcPr>
            <w:tcW w:w="1183" w:type="dxa"/>
            <w:shd w:val="clear" w:color="auto" w:fill="auto"/>
            <w:noWrap/>
            <w:vAlign w:val="bottom"/>
            <w:hideMark/>
          </w:tcPr>
          <w:p w14:paraId="388214CD"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(0.028)</w:t>
            </w:r>
          </w:p>
        </w:tc>
      </w:tr>
      <w:tr w:rsidR="009D469E" w:rsidRPr="007D4961" w14:paraId="1E9D1645" w14:textId="77777777" w:rsidTr="00024E1E">
        <w:trPr>
          <w:trHeight w:val="20"/>
          <w:jc w:val="center"/>
        </w:trPr>
        <w:tc>
          <w:tcPr>
            <w:tcW w:w="4410" w:type="dxa"/>
            <w:shd w:val="clear" w:color="auto" w:fill="auto"/>
            <w:noWrap/>
            <w:hideMark/>
          </w:tcPr>
          <w:p w14:paraId="444DAEEF"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Bernanke</w:t>
            </w:r>
          </w:p>
        </w:tc>
        <w:tc>
          <w:tcPr>
            <w:tcW w:w="1183" w:type="dxa"/>
            <w:shd w:val="clear" w:color="auto" w:fill="auto"/>
            <w:noWrap/>
            <w:vAlign w:val="bottom"/>
            <w:hideMark/>
          </w:tcPr>
          <w:p w14:paraId="733CD99E"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00757797"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357992A1"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13FAFBDD"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0.975***</w:t>
            </w:r>
          </w:p>
        </w:tc>
      </w:tr>
      <w:tr w:rsidR="009D469E" w:rsidRPr="007D4961" w14:paraId="7F58F7B0" w14:textId="77777777" w:rsidTr="00024E1E">
        <w:trPr>
          <w:trHeight w:val="20"/>
          <w:jc w:val="center"/>
        </w:trPr>
        <w:tc>
          <w:tcPr>
            <w:tcW w:w="4410" w:type="dxa"/>
            <w:shd w:val="clear" w:color="auto" w:fill="auto"/>
            <w:noWrap/>
            <w:hideMark/>
          </w:tcPr>
          <w:p w14:paraId="0B6C0566"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 </w:t>
            </w:r>
          </w:p>
        </w:tc>
        <w:tc>
          <w:tcPr>
            <w:tcW w:w="1183" w:type="dxa"/>
            <w:shd w:val="clear" w:color="auto" w:fill="auto"/>
            <w:noWrap/>
            <w:vAlign w:val="bottom"/>
            <w:hideMark/>
          </w:tcPr>
          <w:p w14:paraId="4A17D399"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0F1D819B"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7A01D5CC"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3373DFAE"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(0.171)</w:t>
            </w:r>
          </w:p>
        </w:tc>
      </w:tr>
      <w:tr w:rsidR="009D469E" w:rsidRPr="007D4961" w14:paraId="7B929944" w14:textId="77777777" w:rsidTr="00024E1E">
        <w:trPr>
          <w:trHeight w:val="20"/>
          <w:jc w:val="center"/>
        </w:trPr>
        <w:tc>
          <w:tcPr>
            <w:tcW w:w="4410" w:type="dxa"/>
            <w:shd w:val="clear" w:color="auto" w:fill="auto"/>
            <w:noWrap/>
            <w:hideMark/>
          </w:tcPr>
          <w:p w14:paraId="13232735"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Burns</w:t>
            </w:r>
          </w:p>
        </w:tc>
        <w:tc>
          <w:tcPr>
            <w:tcW w:w="1183" w:type="dxa"/>
            <w:shd w:val="clear" w:color="auto" w:fill="auto"/>
            <w:noWrap/>
            <w:vAlign w:val="bottom"/>
            <w:hideMark/>
          </w:tcPr>
          <w:p w14:paraId="46A3D0EE"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1593088A"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44BB53F3"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6190657F"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0.166*</w:t>
            </w:r>
          </w:p>
        </w:tc>
      </w:tr>
      <w:tr w:rsidR="009D469E" w:rsidRPr="007D4961" w14:paraId="58813E5F" w14:textId="77777777" w:rsidTr="00024E1E">
        <w:trPr>
          <w:trHeight w:val="20"/>
          <w:jc w:val="center"/>
        </w:trPr>
        <w:tc>
          <w:tcPr>
            <w:tcW w:w="4410" w:type="dxa"/>
            <w:shd w:val="clear" w:color="auto" w:fill="auto"/>
            <w:noWrap/>
            <w:hideMark/>
          </w:tcPr>
          <w:p w14:paraId="420EC7A1"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 </w:t>
            </w:r>
          </w:p>
        </w:tc>
        <w:tc>
          <w:tcPr>
            <w:tcW w:w="1183" w:type="dxa"/>
            <w:shd w:val="clear" w:color="auto" w:fill="auto"/>
            <w:noWrap/>
            <w:vAlign w:val="bottom"/>
            <w:hideMark/>
          </w:tcPr>
          <w:p w14:paraId="4C0D4421"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33FB7B42"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51B46193"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10103300"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(0.091)</w:t>
            </w:r>
          </w:p>
        </w:tc>
      </w:tr>
      <w:tr w:rsidR="009D469E" w:rsidRPr="007D4961" w14:paraId="6CDA3664" w14:textId="77777777" w:rsidTr="00024E1E">
        <w:trPr>
          <w:trHeight w:val="20"/>
          <w:jc w:val="center"/>
        </w:trPr>
        <w:tc>
          <w:tcPr>
            <w:tcW w:w="4410" w:type="dxa"/>
            <w:shd w:val="clear" w:color="auto" w:fill="auto"/>
            <w:noWrap/>
            <w:hideMark/>
          </w:tcPr>
          <w:p w14:paraId="7142A544"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Greenspan</w:t>
            </w:r>
          </w:p>
        </w:tc>
        <w:tc>
          <w:tcPr>
            <w:tcW w:w="1183" w:type="dxa"/>
            <w:shd w:val="clear" w:color="auto" w:fill="auto"/>
            <w:noWrap/>
            <w:vAlign w:val="bottom"/>
            <w:hideMark/>
          </w:tcPr>
          <w:p w14:paraId="24CB0AFB"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1C70FA9B"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354AC15C"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0FE8B0FB"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0.885***</w:t>
            </w:r>
          </w:p>
        </w:tc>
      </w:tr>
      <w:tr w:rsidR="009D469E" w:rsidRPr="007D4961" w14:paraId="0E028AE8" w14:textId="77777777" w:rsidTr="00024E1E">
        <w:trPr>
          <w:trHeight w:val="20"/>
          <w:jc w:val="center"/>
        </w:trPr>
        <w:tc>
          <w:tcPr>
            <w:tcW w:w="4410" w:type="dxa"/>
            <w:shd w:val="clear" w:color="auto" w:fill="auto"/>
            <w:noWrap/>
            <w:hideMark/>
          </w:tcPr>
          <w:p w14:paraId="0A6596CA"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 </w:t>
            </w:r>
          </w:p>
        </w:tc>
        <w:tc>
          <w:tcPr>
            <w:tcW w:w="1183" w:type="dxa"/>
            <w:shd w:val="clear" w:color="auto" w:fill="auto"/>
            <w:noWrap/>
            <w:vAlign w:val="bottom"/>
            <w:hideMark/>
          </w:tcPr>
          <w:p w14:paraId="76566B9E"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6C6B7AFD"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725A4002"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0B566F8F"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(0.151)</w:t>
            </w:r>
          </w:p>
        </w:tc>
      </w:tr>
      <w:tr w:rsidR="009D469E" w:rsidRPr="007D4961" w14:paraId="1D9E051A" w14:textId="77777777" w:rsidTr="00024E1E">
        <w:trPr>
          <w:trHeight w:val="20"/>
          <w:jc w:val="center"/>
        </w:trPr>
        <w:tc>
          <w:tcPr>
            <w:tcW w:w="4410" w:type="dxa"/>
            <w:shd w:val="clear" w:color="auto" w:fill="auto"/>
            <w:noWrap/>
            <w:hideMark/>
          </w:tcPr>
          <w:p w14:paraId="1297A47A"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Martin</w:t>
            </w:r>
          </w:p>
        </w:tc>
        <w:tc>
          <w:tcPr>
            <w:tcW w:w="1183" w:type="dxa"/>
            <w:shd w:val="clear" w:color="auto" w:fill="auto"/>
            <w:noWrap/>
            <w:vAlign w:val="bottom"/>
            <w:hideMark/>
          </w:tcPr>
          <w:p w14:paraId="5E8D86A7"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7673A68E"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4DC99962"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4A0E31EC"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0.227***</w:t>
            </w:r>
          </w:p>
        </w:tc>
      </w:tr>
      <w:tr w:rsidR="009D469E" w:rsidRPr="007D4961" w14:paraId="55E92BAE" w14:textId="77777777" w:rsidTr="00024E1E">
        <w:trPr>
          <w:trHeight w:val="20"/>
          <w:jc w:val="center"/>
        </w:trPr>
        <w:tc>
          <w:tcPr>
            <w:tcW w:w="4410" w:type="dxa"/>
            <w:shd w:val="clear" w:color="auto" w:fill="auto"/>
            <w:noWrap/>
            <w:hideMark/>
          </w:tcPr>
          <w:p w14:paraId="52366C2B"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 </w:t>
            </w:r>
          </w:p>
        </w:tc>
        <w:tc>
          <w:tcPr>
            <w:tcW w:w="1183" w:type="dxa"/>
            <w:shd w:val="clear" w:color="auto" w:fill="auto"/>
            <w:noWrap/>
            <w:vAlign w:val="bottom"/>
            <w:hideMark/>
          </w:tcPr>
          <w:p w14:paraId="0CE09088"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1E155BE5"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3473134B"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3DB7F971"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(0.067)</w:t>
            </w:r>
          </w:p>
        </w:tc>
      </w:tr>
      <w:tr w:rsidR="009D469E" w:rsidRPr="007D4961" w14:paraId="0983F847" w14:textId="77777777" w:rsidTr="00024E1E">
        <w:trPr>
          <w:trHeight w:val="20"/>
          <w:jc w:val="center"/>
        </w:trPr>
        <w:tc>
          <w:tcPr>
            <w:tcW w:w="4410" w:type="dxa"/>
            <w:shd w:val="clear" w:color="auto" w:fill="auto"/>
            <w:noWrap/>
            <w:hideMark/>
          </w:tcPr>
          <w:p w14:paraId="6D3DA4EC"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Miller</w:t>
            </w:r>
          </w:p>
        </w:tc>
        <w:tc>
          <w:tcPr>
            <w:tcW w:w="1183" w:type="dxa"/>
            <w:shd w:val="clear" w:color="auto" w:fill="auto"/>
            <w:noWrap/>
            <w:vAlign w:val="bottom"/>
            <w:hideMark/>
          </w:tcPr>
          <w:p w14:paraId="70ECF575"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4D916FEE"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5F7FE2FD"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4833E278"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0.114</w:t>
            </w:r>
          </w:p>
        </w:tc>
      </w:tr>
      <w:tr w:rsidR="009D469E" w:rsidRPr="007D4961" w14:paraId="607B2C4F" w14:textId="77777777" w:rsidTr="00024E1E">
        <w:trPr>
          <w:trHeight w:val="20"/>
          <w:jc w:val="center"/>
        </w:trPr>
        <w:tc>
          <w:tcPr>
            <w:tcW w:w="4410" w:type="dxa"/>
            <w:shd w:val="clear" w:color="auto" w:fill="auto"/>
            <w:noWrap/>
            <w:hideMark/>
          </w:tcPr>
          <w:p w14:paraId="26D877BD"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 </w:t>
            </w:r>
          </w:p>
        </w:tc>
        <w:tc>
          <w:tcPr>
            <w:tcW w:w="1183" w:type="dxa"/>
            <w:shd w:val="clear" w:color="auto" w:fill="auto"/>
            <w:noWrap/>
            <w:vAlign w:val="bottom"/>
            <w:hideMark/>
          </w:tcPr>
          <w:p w14:paraId="59764D20"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2A7998B2"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15E3B6DD"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5BEAF9BA"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(0.101)</w:t>
            </w:r>
          </w:p>
        </w:tc>
      </w:tr>
      <w:tr w:rsidR="009D469E" w:rsidRPr="007D4961" w14:paraId="03242C62" w14:textId="77777777" w:rsidTr="00024E1E">
        <w:trPr>
          <w:trHeight w:val="20"/>
          <w:jc w:val="center"/>
        </w:trPr>
        <w:tc>
          <w:tcPr>
            <w:tcW w:w="4410" w:type="dxa"/>
            <w:shd w:val="clear" w:color="auto" w:fill="auto"/>
            <w:noWrap/>
            <w:hideMark/>
          </w:tcPr>
          <w:p w14:paraId="705FC76F"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Volcker</w:t>
            </w:r>
          </w:p>
        </w:tc>
        <w:tc>
          <w:tcPr>
            <w:tcW w:w="1183" w:type="dxa"/>
            <w:shd w:val="clear" w:color="auto" w:fill="auto"/>
            <w:noWrap/>
            <w:vAlign w:val="bottom"/>
            <w:hideMark/>
          </w:tcPr>
          <w:p w14:paraId="2572ED61"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4509660C"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149CC2F6"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5CF020B8"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0.843***</w:t>
            </w:r>
          </w:p>
        </w:tc>
      </w:tr>
      <w:tr w:rsidR="009D469E" w:rsidRPr="007D4961" w14:paraId="26D19D4B" w14:textId="77777777" w:rsidTr="00024E1E">
        <w:trPr>
          <w:trHeight w:val="20"/>
          <w:jc w:val="center"/>
        </w:trPr>
        <w:tc>
          <w:tcPr>
            <w:tcW w:w="4410" w:type="dxa"/>
            <w:shd w:val="clear" w:color="auto" w:fill="auto"/>
            <w:noWrap/>
            <w:hideMark/>
          </w:tcPr>
          <w:p w14:paraId="1DC7508B"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 </w:t>
            </w:r>
          </w:p>
        </w:tc>
        <w:tc>
          <w:tcPr>
            <w:tcW w:w="1183" w:type="dxa"/>
            <w:shd w:val="clear" w:color="auto" w:fill="auto"/>
            <w:noWrap/>
            <w:vAlign w:val="bottom"/>
            <w:hideMark/>
          </w:tcPr>
          <w:p w14:paraId="0269AD08"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2B1FCFCB"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7E7367F3"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2C67D7E1"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(0.140)</w:t>
            </w:r>
          </w:p>
        </w:tc>
      </w:tr>
      <w:tr w:rsidR="009D469E" w:rsidRPr="007D4961" w14:paraId="56E2E30F" w14:textId="77777777" w:rsidTr="00024E1E">
        <w:trPr>
          <w:trHeight w:val="20"/>
          <w:jc w:val="center"/>
        </w:trPr>
        <w:tc>
          <w:tcPr>
            <w:tcW w:w="4410" w:type="dxa"/>
            <w:shd w:val="clear" w:color="auto" w:fill="auto"/>
            <w:noWrap/>
            <w:hideMark/>
          </w:tcPr>
          <w:p w14:paraId="528C15D2"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Constant</w:t>
            </w:r>
          </w:p>
        </w:tc>
        <w:tc>
          <w:tcPr>
            <w:tcW w:w="1183" w:type="dxa"/>
            <w:shd w:val="clear" w:color="auto" w:fill="auto"/>
            <w:noWrap/>
            <w:vAlign w:val="bottom"/>
            <w:hideMark/>
          </w:tcPr>
          <w:p w14:paraId="632DEF61"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0.096***</w:t>
            </w:r>
          </w:p>
        </w:tc>
        <w:tc>
          <w:tcPr>
            <w:tcW w:w="1183" w:type="dxa"/>
            <w:shd w:val="clear" w:color="auto" w:fill="auto"/>
            <w:noWrap/>
            <w:vAlign w:val="bottom"/>
            <w:hideMark/>
          </w:tcPr>
          <w:p w14:paraId="74455120"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0.215***</w:t>
            </w:r>
          </w:p>
        </w:tc>
        <w:tc>
          <w:tcPr>
            <w:tcW w:w="1183" w:type="dxa"/>
            <w:shd w:val="clear" w:color="auto" w:fill="auto"/>
            <w:noWrap/>
            <w:vAlign w:val="bottom"/>
            <w:hideMark/>
          </w:tcPr>
          <w:p w14:paraId="22462041"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0.284***</w:t>
            </w:r>
          </w:p>
        </w:tc>
        <w:tc>
          <w:tcPr>
            <w:tcW w:w="1183" w:type="dxa"/>
            <w:shd w:val="clear" w:color="auto" w:fill="auto"/>
            <w:noWrap/>
            <w:vAlign w:val="bottom"/>
            <w:hideMark/>
          </w:tcPr>
          <w:p w14:paraId="7750192E" w14:textId="3FAB7149" w:rsidR="009D469E" w:rsidRPr="00024E1E" w:rsidRDefault="009D469E" w:rsidP="00024E1E">
            <w:pPr>
              <w:spacing w:after="160" w:line="240" w:lineRule="auto"/>
              <w:ind w:firstLine="0"/>
              <w:contextualSpacing/>
              <w:jc w:val="right"/>
              <w:rPr>
                <w:rFonts w:eastAsia="DengXian"/>
                <w:sz w:val="20"/>
                <w:szCs w:val="20"/>
                <w:lang w:eastAsia="zh-CN"/>
              </w:rPr>
            </w:pPr>
          </w:p>
        </w:tc>
      </w:tr>
      <w:tr w:rsidR="009D469E" w:rsidRPr="007D4961" w14:paraId="4EB126CD" w14:textId="77777777" w:rsidTr="00024E1E">
        <w:trPr>
          <w:trHeight w:val="20"/>
          <w:jc w:val="center"/>
        </w:trPr>
        <w:tc>
          <w:tcPr>
            <w:tcW w:w="4410" w:type="dxa"/>
            <w:shd w:val="clear" w:color="auto" w:fill="auto"/>
            <w:noWrap/>
            <w:hideMark/>
          </w:tcPr>
          <w:p w14:paraId="592D9F46"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 </w:t>
            </w:r>
          </w:p>
        </w:tc>
        <w:tc>
          <w:tcPr>
            <w:tcW w:w="1183" w:type="dxa"/>
            <w:shd w:val="clear" w:color="auto" w:fill="auto"/>
            <w:noWrap/>
            <w:vAlign w:val="bottom"/>
            <w:hideMark/>
          </w:tcPr>
          <w:p w14:paraId="46441EB0"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(0.029)</w:t>
            </w:r>
          </w:p>
        </w:tc>
        <w:tc>
          <w:tcPr>
            <w:tcW w:w="1183" w:type="dxa"/>
            <w:shd w:val="clear" w:color="auto" w:fill="auto"/>
            <w:noWrap/>
            <w:vAlign w:val="bottom"/>
            <w:hideMark/>
          </w:tcPr>
          <w:p w14:paraId="3E5A331C"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(0.048)</w:t>
            </w:r>
          </w:p>
        </w:tc>
        <w:tc>
          <w:tcPr>
            <w:tcW w:w="1183" w:type="dxa"/>
            <w:shd w:val="clear" w:color="auto" w:fill="auto"/>
            <w:noWrap/>
            <w:vAlign w:val="bottom"/>
            <w:hideMark/>
          </w:tcPr>
          <w:p w14:paraId="2567859A"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(0.058)</w:t>
            </w:r>
          </w:p>
        </w:tc>
        <w:tc>
          <w:tcPr>
            <w:tcW w:w="1183" w:type="dxa"/>
            <w:shd w:val="clear" w:color="auto" w:fill="auto"/>
            <w:noWrap/>
            <w:vAlign w:val="bottom"/>
            <w:hideMark/>
          </w:tcPr>
          <w:p w14:paraId="0F7D22EA" w14:textId="2F25C261" w:rsidR="009D469E" w:rsidRPr="00024E1E" w:rsidRDefault="009D469E" w:rsidP="00024E1E">
            <w:pPr>
              <w:spacing w:after="160" w:line="240" w:lineRule="auto"/>
              <w:ind w:firstLine="0"/>
              <w:contextualSpacing/>
              <w:jc w:val="right"/>
              <w:rPr>
                <w:rFonts w:eastAsia="DengXian"/>
                <w:sz w:val="20"/>
                <w:szCs w:val="20"/>
                <w:lang w:eastAsia="zh-CN"/>
              </w:rPr>
            </w:pPr>
          </w:p>
        </w:tc>
      </w:tr>
      <w:tr w:rsidR="009D469E" w:rsidRPr="007D4961" w14:paraId="484F1380" w14:textId="77777777" w:rsidTr="00024E1E">
        <w:trPr>
          <w:trHeight w:val="20"/>
          <w:jc w:val="center"/>
        </w:trPr>
        <w:tc>
          <w:tcPr>
            <w:tcW w:w="4410" w:type="dxa"/>
            <w:shd w:val="clear" w:color="auto" w:fill="auto"/>
            <w:noWrap/>
            <w:hideMark/>
          </w:tcPr>
          <w:p w14:paraId="7D2A5E5C"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 </w:t>
            </w:r>
          </w:p>
        </w:tc>
        <w:tc>
          <w:tcPr>
            <w:tcW w:w="1183" w:type="dxa"/>
            <w:shd w:val="clear" w:color="auto" w:fill="auto"/>
            <w:noWrap/>
            <w:vAlign w:val="bottom"/>
            <w:hideMark/>
          </w:tcPr>
          <w:p w14:paraId="5D72F218"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1DBE7A88"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2F6F77E4" w14:textId="77777777" w:rsidR="009D469E" w:rsidRPr="00024E1E" w:rsidRDefault="009D469E" w:rsidP="00024E1E">
            <w:pPr>
              <w:spacing w:after="160" w:line="240" w:lineRule="auto"/>
              <w:ind w:firstLine="0"/>
              <w:contextualSpacing/>
              <w:jc w:val="right"/>
              <w:rPr>
                <w:rFonts w:eastAsia="DengXian"/>
                <w:sz w:val="20"/>
                <w:szCs w:val="20"/>
                <w:lang w:eastAsia="zh-CN"/>
              </w:rPr>
            </w:pPr>
          </w:p>
        </w:tc>
        <w:tc>
          <w:tcPr>
            <w:tcW w:w="1183" w:type="dxa"/>
            <w:shd w:val="clear" w:color="auto" w:fill="auto"/>
            <w:noWrap/>
            <w:vAlign w:val="bottom"/>
            <w:hideMark/>
          </w:tcPr>
          <w:p w14:paraId="6257406A" w14:textId="569EDA4E" w:rsidR="009D469E" w:rsidRPr="00024E1E" w:rsidRDefault="009D469E" w:rsidP="00024E1E">
            <w:pPr>
              <w:spacing w:after="160" w:line="240" w:lineRule="auto"/>
              <w:ind w:firstLine="0"/>
              <w:contextualSpacing/>
              <w:jc w:val="right"/>
              <w:rPr>
                <w:rFonts w:eastAsia="DengXian"/>
                <w:sz w:val="20"/>
                <w:szCs w:val="20"/>
                <w:lang w:eastAsia="zh-CN"/>
              </w:rPr>
            </w:pPr>
          </w:p>
        </w:tc>
      </w:tr>
      <w:tr w:rsidR="009D469E" w:rsidRPr="007D4961" w14:paraId="7EDAECAA" w14:textId="77777777" w:rsidTr="00024E1E">
        <w:trPr>
          <w:trHeight w:val="20"/>
          <w:jc w:val="center"/>
        </w:trPr>
        <w:tc>
          <w:tcPr>
            <w:tcW w:w="4410" w:type="dxa"/>
            <w:shd w:val="clear" w:color="auto" w:fill="auto"/>
            <w:noWrap/>
            <w:hideMark/>
          </w:tcPr>
          <w:p w14:paraId="1CABEC0B"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Observations</w:t>
            </w:r>
          </w:p>
        </w:tc>
        <w:tc>
          <w:tcPr>
            <w:tcW w:w="1183" w:type="dxa"/>
            <w:shd w:val="clear" w:color="auto" w:fill="auto"/>
            <w:noWrap/>
            <w:vAlign w:val="bottom"/>
            <w:hideMark/>
          </w:tcPr>
          <w:p w14:paraId="0A8B33F9"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528</w:t>
            </w:r>
          </w:p>
        </w:tc>
        <w:tc>
          <w:tcPr>
            <w:tcW w:w="1183" w:type="dxa"/>
            <w:shd w:val="clear" w:color="auto" w:fill="auto"/>
            <w:noWrap/>
            <w:vAlign w:val="bottom"/>
            <w:hideMark/>
          </w:tcPr>
          <w:p w14:paraId="19557FFF"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528</w:t>
            </w:r>
          </w:p>
        </w:tc>
        <w:tc>
          <w:tcPr>
            <w:tcW w:w="1183" w:type="dxa"/>
            <w:shd w:val="clear" w:color="auto" w:fill="auto"/>
            <w:noWrap/>
            <w:vAlign w:val="bottom"/>
            <w:hideMark/>
          </w:tcPr>
          <w:p w14:paraId="001C1762"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528</w:t>
            </w:r>
          </w:p>
        </w:tc>
        <w:tc>
          <w:tcPr>
            <w:tcW w:w="1183" w:type="dxa"/>
            <w:shd w:val="clear" w:color="auto" w:fill="auto"/>
            <w:noWrap/>
            <w:vAlign w:val="bottom"/>
            <w:hideMark/>
          </w:tcPr>
          <w:p w14:paraId="50B9B17D"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528</w:t>
            </w:r>
          </w:p>
        </w:tc>
      </w:tr>
      <w:tr w:rsidR="009D469E" w:rsidRPr="007D4961" w14:paraId="19DE7B60" w14:textId="77777777" w:rsidTr="00024E1E">
        <w:trPr>
          <w:trHeight w:val="20"/>
          <w:jc w:val="center"/>
        </w:trPr>
        <w:tc>
          <w:tcPr>
            <w:tcW w:w="4410" w:type="dxa"/>
            <w:shd w:val="clear" w:color="auto" w:fill="auto"/>
            <w:noWrap/>
            <w:hideMark/>
          </w:tcPr>
          <w:p w14:paraId="2FB61F55" w14:textId="77777777" w:rsidR="009D469E" w:rsidRPr="00024E1E" w:rsidRDefault="009D469E" w:rsidP="00024E1E">
            <w:pPr>
              <w:spacing w:after="160" w:line="240" w:lineRule="auto"/>
              <w:ind w:firstLine="0"/>
              <w:contextualSpacing/>
              <w:jc w:val="left"/>
              <w:rPr>
                <w:rFonts w:eastAsia="DengXian"/>
                <w:sz w:val="20"/>
                <w:szCs w:val="20"/>
                <w:lang w:eastAsia="zh-CN"/>
              </w:rPr>
            </w:pPr>
            <w:r w:rsidRPr="00024E1E">
              <w:rPr>
                <w:rFonts w:eastAsia="DengXian"/>
                <w:sz w:val="20"/>
                <w:szCs w:val="20"/>
                <w:lang w:eastAsia="zh-CN"/>
              </w:rPr>
              <w:t>R-squared</w:t>
            </w:r>
          </w:p>
        </w:tc>
        <w:tc>
          <w:tcPr>
            <w:tcW w:w="1183" w:type="dxa"/>
            <w:shd w:val="clear" w:color="auto" w:fill="auto"/>
            <w:noWrap/>
            <w:vAlign w:val="bottom"/>
            <w:hideMark/>
          </w:tcPr>
          <w:p w14:paraId="78DCD72B"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0.724</w:t>
            </w:r>
          </w:p>
        </w:tc>
        <w:tc>
          <w:tcPr>
            <w:tcW w:w="1183" w:type="dxa"/>
            <w:shd w:val="clear" w:color="auto" w:fill="auto"/>
            <w:noWrap/>
            <w:vAlign w:val="bottom"/>
            <w:hideMark/>
          </w:tcPr>
          <w:p w14:paraId="4B377DEA"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0.738</w:t>
            </w:r>
          </w:p>
        </w:tc>
        <w:tc>
          <w:tcPr>
            <w:tcW w:w="1183" w:type="dxa"/>
            <w:shd w:val="clear" w:color="auto" w:fill="auto"/>
            <w:noWrap/>
            <w:vAlign w:val="bottom"/>
            <w:hideMark/>
          </w:tcPr>
          <w:p w14:paraId="2AE64610"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0.743</w:t>
            </w:r>
          </w:p>
        </w:tc>
        <w:tc>
          <w:tcPr>
            <w:tcW w:w="1183" w:type="dxa"/>
            <w:shd w:val="clear" w:color="auto" w:fill="auto"/>
            <w:noWrap/>
            <w:vAlign w:val="bottom"/>
            <w:hideMark/>
          </w:tcPr>
          <w:p w14:paraId="5F1A954C" w14:textId="77777777" w:rsidR="009D469E" w:rsidRPr="00024E1E" w:rsidRDefault="009D469E" w:rsidP="00024E1E">
            <w:pPr>
              <w:spacing w:after="160" w:line="240" w:lineRule="auto"/>
              <w:ind w:firstLine="0"/>
              <w:contextualSpacing/>
              <w:jc w:val="right"/>
              <w:rPr>
                <w:rFonts w:eastAsia="DengXian"/>
                <w:sz w:val="20"/>
                <w:szCs w:val="20"/>
                <w:lang w:eastAsia="zh-CN"/>
              </w:rPr>
            </w:pPr>
            <w:r w:rsidRPr="00024E1E">
              <w:rPr>
                <w:rFonts w:eastAsia="DengXian"/>
                <w:sz w:val="20"/>
                <w:szCs w:val="20"/>
                <w:lang w:eastAsia="zh-CN"/>
              </w:rPr>
              <w:t>0.748</w:t>
            </w:r>
          </w:p>
        </w:tc>
      </w:tr>
      <w:tr w:rsidR="009D2A7A" w:rsidRPr="003F2543" w14:paraId="2A506D19" w14:textId="77777777" w:rsidTr="009D2A7A">
        <w:trPr>
          <w:trHeight w:val="20"/>
          <w:jc w:val="center"/>
        </w:trPr>
        <w:tc>
          <w:tcPr>
            <w:tcW w:w="4410" w:type="dxa"/>
            <w:tcBorders>
              <w:bottom w:val="double" w:sz="4" w:space="0" w:color="auto"/>
            </w:tcBorders>
            <w:shd w:val="clear" w:color="auto" w:fill="auto"/>
            <w:noWrap/>
            <w:vAlign w:val="bottom"/>
          </w:tcPr>
          <w:p w14:paraId="072FC188" w14:textId="77777777" w:rsidR="009D469E" w:rsidRPr="00024E1E" w:rsidRDefault="009D469E" w:rsidP="00024E1E">
            <w:pPr>
              <w:spacing w:after="160" w:line="240" w:lineRule="auto"/>
              <w:ind w:firstLine="0"/>
              <w:contextualSpacing/>
              <w:jc w:val="left"/>
              <w:rPr>
                <w:rFonts w:eastAsia="DengXian"/>
                <w:sz w:val="20"/>
                <w:lang w:eastAsia="zh-CN"/>
              </w:rPr>
            </w:pPr>
          </w:p>
        </w:tc>
        <w:tc>
          <w:tcPr>
            <w:tcW w:w="1183" w:type="dxa"/>
            <w:tcBorders>
              <w:bottom w:val="double" w:sz="4" w:space="0" w:color="auto"/>
            </w:tcBorders>
            <w:shd w:val="clear" w:color="auto" w:fill="auto"/>
            <w:noWrap/>
            <w:vAlign w:val="bottom"/>
          </w:tcPr>
          <w:p w14:paraId="4E2045F6" w14:textId="77777777" w:rsidR="009D469E" w:rsidRPr="00024E1E" w:rsidRDefault="009D469E" w:rsidP="00024E1E">
            <w:pPr>
              <w:spacing w:after="160" w:line="240" w:lineRule="auto"/>
              <w:ind w:firstLine="0"/>
              <w:contextualSpacing/>
              <w:jc w:val="right"/>
              <w:rPr>
                <w:rFonts w:eastAsia="DengXian"/>
                <w:sz w:val="20"/>
                <w:lang w:eastAsia="zh-CN"/>
              </w:rPr>
            </w:pPr>
          </w:p>
        </w:tc>
        <w:tc>
          <w:tcPr>
            <w:tcW w:w="1183" w:type="dxa"/>
            <w:tcBorders>
              <w:bottom w:val="double" w:sz="4" w:space="0" w:color="auto"/>
            </w:tcBorders>
            <w:shd w:val="clear" w:color="auto" w:fill="auto"/>
            <w:noWrap/>
            <w:vAlign w:val="bottom"/>
          </w:tcPr>
          <w:p w14:paraId="4728DA1D" w14:textId="77777777" w:rsidR="009D469E" w:rsidRPr="00024E1E" w:rsidRDefault="009D469E" w:rsidP="00024E1E">
            <w:pPr>
              <w:spacing w:after="160" w:line="240" w:lineRule="auto"/>
              <w:ind w:firstLine="0"/>
              <w:contextualSpacing/>
              <w:jc w:val="right"/>
              <w:rPr>
                <w:rFonts w:eastAsia="DengXian"/>
                <w:sz w:val="20"/>
                <w:lang w:eastAsia="zh-CN"/>
              </w:rPr>
            </w:pPr>
          </w:p>
        </w:tc>
        <w:tc>
          <w:tcPr>
            <w:tcW w:w="1183" w:type="dxa"/>
            <w:tcBorders>
              <w:bottom w:val="double" w:sz="4" w:space="0" w:color="auto"/>
            </w:tcBorders>
            <w:shd w:val="clear" w:color="auto" w:fill="auto"/>
            <w:noWrap/>
            <w:vAlign w:val="bottom"/>
          </w:tcPr>
          <w:p w14:paraId="05446C05" w14:textId="77777777" w:rsidR="009D469E" w:rsidRPr="00024E1E" w:rsidRDefault="009D469E" w:rsidP="00024E1E">
            <w:pPr>
              <w:spacing w:after="160" w:line="240" w:lineRule="auto"/>
              <w:ind w:firstLine="0"/>
              <w:contextualSpacing/>
              <w:jc w:val="right"/>
              <w:rPr>
                <w:rFonts w:eastAsia="DengXian"/>
                <w:sz w:val="20"/>
                <w:lang w:eastAsia="zh-CN"/>
              </w:rPr>
            </w:pPr>
          </w:p>
        </w:tc>
        <w:tc>
          <w:tcPr>
            <w:tcW w:w="1183" w:type="dxa"/>
            <w:tcBorders>
              <w:bottom w:val="double" w:sz="4" w:space="0" w:color="auto"/>
            </w:tcBorders>
            <w:shd w:val="clear" w:color="auto" w:fill="auto"/>
            <w:noWrap/>
            <w:vAlign w:val="bottom"/>
          </w:tcPr>
          <w:p w14:paraId="2CF0BB5B" w14:textId="77777777" w:rsidR="009D469E" w:rsidRPr="00024E1E" w:rsidRDefault="009D469E" w:rsidP="00024E1E">
            <w:pPr>
              <w:spacing w:after="160" w:line="240" w:lineRule="auto"/>
              <w:ind w:firstLine="0"/>
              <w:contextualSpacing/>
              <w:jc w:val="right"/>
              <w:rPr>
                <w:rFonts w:eastAsia="DengXian"/>
                <w:sz w:val="20"/>
                <w:lang w:eastAsia="zh-CN"/>
              </w:rPr>
            </w:pPr>
          </w:p>
        </w:tc>
      </w:tr>
    </w:tbl>
    <w:p w14:paraId="6A762628" w14:textId="77777777" w:rsidR="009D469E" w:rsidRPr="00F93A72" w:rsidRDefault="009D469E" w:rsidP="00024E1E">
      <w:pPr>
        <w:spacing w:line="240" w:lineRule="auto"/>
        <w:ind w:firstLine="0"/>
        <w:contextualSpacing/>
        <w:jc w:val="left"/>
        <w:rPr>
          <w:rFonts w:eastAsia="DengXian"/>
          <w:sz w:val="20"/>
          <w:szCs w:val="20"/>
          <w:lang w:eastAsia="zh-CN"/>
        </w:rPr>
      </w:pPr>
      <w:r w:rsidRPr="00F93A72">
        <w:rPr>
          <w:rFonts w:eastAsia="DengXian"/>
          <w:sz w:val="20"/>
          <w:szCs w:val="20"/>
          <w:lang w:eastAsia="zh-CN"/>
        </w:rPr>
        <w:t>Robust standard errors in parentheses</w:t>
      </w:r>
    </w:p>
    <w:p w14:paraId="51A2B0B6" w14:textId="77777777" w:rsidR="009D469E" w:rsidRPr="00F93A72" w:rsidRDefault="009D469E" w:rsidP="00024E1E">
      <w:pPr>
        <w:spacing w:line="240" w:lineRule="auto"/>
        <w:ind w:firstLine="0"/>
        <w:contextualSpacing/>
        <w:jc w:val="left"/>
        <w:rPr>
          <w:rFonts w:eastAsia="DengXian"/>
          <w:sz w:val="20"/>
          <w:szCs w:val="20"/>
          <w:lang w:eastAsia="zh-CN"/>
        </w:rPr>
      </w:pPr>
      <w:r w:rsidRPr="00F93A72">
        <w:rPr>
          <w:rFonts w:eastAsia="DengXian"/>
          <w:sz w:val="20"/>
          <w:szCs w:val="20"/>
          <w:lang w:eastAsia="zh-CN"/>
        </w:rPr>
        <w:t>*** p&lt;0.01, ** p&lt;0.05, * p&lt;0.1</w:t>
      </w:r>
    </w:p>
    <w:p w14:paraId="69620A56" w14:textId="77777777" w:rsidR="009D469E" w:rsidRPr="00F93A72" w:rsidRDefault="009D469E" w:rsidP="00024E1E">
      <w:pPr>
        <w:spacing w:line="240" w:lineRule="auto"/>
        <w:ind w:firstLine="0"/>
        <w:contextualSpacing/>
        <w:jc w:val="left"/>
        <w:rPr>
          <w:rFonts w:eastAsia="DengXian"/>
          <w:sz w:val="20"/>
          <w:szCs w:val="20"/>
          <w:lang w:eastAsia="zh-CN"/>
        </w:rPr>
      </w:pPr>
    </w:p>
    <w:p w14:paraId="7133655F" w14:textId="37A6A3FC" w:rsidR="009D469E" w:rsidRPr="00F93A72" w:rsidRDefault="009D469E" w:rsidP="00024E1E">
      <w:pPr>
        <w:spacing w:line="240" w:lineRule="auto"/>
        <w:ind w:firstLine="0"/>
        <w:contextualSpacing/>
        <w:jc w:val="left"/>
        <w:rPr>
          <w:rFonts w:eastAsia="DengXian"/>
          <w:sz w:val="20"/>
          <w:szCs w:val="20"/>
          <w:lang w:eastAsia="zh-CN"/>
        </w:rPr>
      </w:pPr>
      <w:r w:rsidRPr="00F93A72">
        <w:rPr>
          <w:rFonts w:eastAsia="DengXian"/>
          <w:i/>
          <w:sz w:val="20"/>
          <w:szCs w:val="20"/>
          <w:lang w:eastAsia="zh-CN"/>
        </w:rPr>
        <w:t>Sources</w:t>
      </w:r>
      <w:r w:rsidRPr="00F93A72">
        <w:rPr>
          <w:rFonts w:eastAsia="DengXian"/>
          <w:sz w:val="20"/>
          <w:szCs w:val="20"/>
          <w:lang w:eastAsia="zh-CN"/>
        </w:rPr>
        <w:t>: ALFRED; FOMC Greenbooks; Authors’ Dataset.</w:t>
      </w:r>
    </w:p>
    <w:p w14:paraId="2E74252F" w14:textId="05F8BBFE" w:rsidR="00912722" w:rsidRDefault="009D469E" w:rsidP="00024E1E">
      <w:pPr>
        <w:spacing w:line="240" w:lineRule="auto"/>
        <w:ind w:firstLine="0"/>
        <w:contextualSpacing/>
        <w:jc w:val="center"/>
        <w:rPr>
          <w:rFonts w:eastAsia="DengXian"/>
          <w:b/>
          <w:lang w:eastAsia="zh-CN"/>
        </w:rPr>
      </w:pPr>
      <w:r w:rsidRPr="00F93A72">
        <w:rPr>
          <w:rFonts w:eastAsia="DengXian"/>
          <w:sz w:val="20"/>
          <w:szCs w:val="20"/>
          <w:lang w:eastAsia="zh-CN"/>
        </w:rPr>
        <w:br w:type="page"/>
      </w:r>
      <w:r w:rsidR="00912722" w:rsidRPr="009D469E">
        <w:rPr>
          <w:rFonts w:eastAsia="DengXian"/>
          <w:b/>
          <w:lang w:eastAsia="zh-CN"/>
        </w:rPr>
        <w:lastRenderedPageBreak/>
        <w:t>TABLE</w:t>
      </w:r>
      <w:r w:rsidRPr="009D469E">
        <w:rPr>
          <w:rFonts w:eastAsia="DengXian"/>
          <w:b/>
          <w:lang w:eastAsia="zh-CN"/>
        </w:rPr>
        <w:t xml:space="preserve"> 2</w:t>
      </w:r>
    </w:p>
    <w:p w14:paraId="557DE5B0" w14:textId="1D10F42D" w:rsidR="009D469E" w:rsidRPr="00EF4C19" w:rsidRDefault="009D469E" w:rsidP="00024E1E">
      <w:pPr>
        <w:spacing w:line="240" w:lineRule="auto"/>
        <w:ind w:firstLine="0"/>
        <w:contextualSpacing/>
        <w:jc w:val="center"/>
        <w:rPr>
          <w:rFonts w:eastAsia="DengXian"/>
          <w:lang w:eastAsia="zh-CN"/>
        </w:rPr>
      </w:pPr>
      <w:r w:rsidRPr="009D469E">
        <w:rPr>
          <w:rFonts w:eastAsia="DengXian"/>
          <w:b/>
          <w:lang w:eastAsia="zh-CN"/>
        </w:rPr>
        <w:t>Relationship between FOMC Discussions and Federal Funds Rate (</w:t>
      </w:r>
      <w:r w:rsidRPr="009D469E">
        <w:rPr>
          <w:rFonts w:eastAsia="DengXian"/>
          <w:b/>
          <w:lang w:val="en-GB" w:eastAsia="zh-CN"/>
        </w:rPr>
        <w:t>FFR</w:t>
      </w:r>
      <w:r w:rsidRPr="002E6DEC">
        <w:rPr>
          <w:rFonts w:eastAsia="DengXian"/>
          <w:b/>
          <w:vertAlign w:val="subscript"/>
          <w:lang w:val="en-GB" w:eastAsia="zh-CN"/>
        </w:rPr>
        <w:t>t</w:t>
      </w:r>
      <w:r w:rsidRPr="009D469E">
        <w:rPr>
          <w:rFonts w:eastAsia="DengXian"/>
          <w:b/>
          <w:lang w:eastAsia="zh-CN"/>
        </w:rPr>
        <w:t>)</w:t>
      </w:r>
    </w:p>
    <w:p w14:paraId="3D47B3DC" w14:textId="77777777" w:rsidR="009D469E" w:rsidRPr="00024E1E" w:rsidRDefault="009D469E" w:rsidP="00024E1E">
      <w:pPr>
        <w:spacing w:line="240" w:lineRule="auto"/>
        <w:ind w:firstLine="0"/>
        <w:contextualSpacing/>
        <w:jc w:val="left"/>
        <w:rPr>
          <w:rFonts w:eastAsia="DengXian"/>
          <w:sz w:val="20"/>
          <w:lang w:eastAsia="zh-CN"/>
        </w:rPr>
      </w:pPr>
    </w:p>
    <w:tbl>
      <w:tblPr>
        <w:tblW w:w="9360" w:type="dxa"/>
        <w:tblLayout w:type="fixed"/>
        <w:tblLook w:val="04A0" w:firstRow="1" w:lastRow="0" w:firstColumn="1" w:lastColumn="0" w:noHBand="0" w:noVBand="1"/>
      </w:tblPr>
      <w:tblGrid>
        <w:gridCol w:w="4410"/>
        <w:gridCol w:w="1237"/>
        <w:gridCol w:w="1193"/>
        <w:gridCol w:w="1282"/>
        <w:gridCol w:w="1238"/>
      </w:tblGrid>
      <w:tr w:rsidR="00097D3C" w:rsidRPr="00097D3C" w14:paraId="61E07179" w14:textId="77777777" w:rsidTr="007634DD">
        <w:trPr>
          <w:trHeight w:val="366"/>
        </w:trPr>
        <w:tc>
          <w:tcPr>
            <w:tcW w:w="4410" w:type="dxa"/>
            <w:tcBorders>
              <w:top w:val="double" w:sz="4" w:space="0" w:color="auto"/>
            </w:tcBorders>
            <w:shd w:val="clear" w:color="auto" w:fill="auto"/>
            <w:noWrap/>
            <w:vAlign w:val="bottom"/>
            <w:hideMark/>
          </w:tcPr>
          <w:p w14:paraId="10C689B7" w14:textId="5F801126"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r w:rsidR="00704442" w:rsidRPr="009A6B84">
              <w:rPr>
                <w:rFonts w:eastAsia="Times New Roman"/>
                <w:sz w:val="20"/>
                <w:szCs w:val="20"/>
              </w:rPr>
              <w:t> </w:t>
            </w:r>
            <w:r w:rsidR="00704442">
              <w:rPr>
                <w:rFonts w:eastAsia="Times New Roman"/>
                <w:sz w:val="20"/>
                <w:szCs w:val="20"/>
              </w:rPr>
              <w:t xml:space="preserve">DV:  </w:t>
            </w:r>
            <w:r w:rsidR="00704442" w:rsidRPr="009A6B84">
              <w:rPr>
                <w:rFonts w:eastAsia="Times New Roman"/>
                <w:sz w:val="20"/>
                <w:szCs w:val="20"/>
              </w:rPr>
              <w:t>FFRT</w:t>
            </w:r>
            <w:r w:rsidR="00704442" w:rsidRPr="009F6635">
              <w:rPr>
                <w:rFonts w:eastAsia="Times New Roman"/>
                <w:sz w:val="20"/>
                <w:szCs w:val="20"/>
                <w:vertAlign w:val="subscript"/>
              </w:rPr>
              <w:t>t</w:t>
            </w:r>
          </w:p>
        </w:tc>
        <w:tc>
          <w:tcPr>
            <w:tcW w:w="1237" w:type="dxa"/>
            <w:tcBorders>
              <w:top w:val="double" w:sz="4" w:space="0" w:color="auto"/>
            </w:tcBorders>
            <w:shd w:val="clear" w:color="auto" w:fill="auto"/>
            <w:noWrap/>
            <w:vAlign w:val="bottom"/>
            <w:hideMark/>
          </w:tcPr>
          <w:p w14:paraId="2B9DFC43"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(1)</w:t>
            </w:r>
          </w:p>
        </w:tc>
        <w:tc>
          <w:tcPr>
            <w:tcW w:w="1193" w:type="dxa"/>
            <w:tcBorders>
              <w:top w:val="double" w:sz="4" w:space="0" w:color="auto"/>
            </w:tcBorders>
            <w:shd w:val="clear" w:color="auto" w:fill="auto"/>
            <w:noWrap/>
            <w:vAlign w:val="bottom"/>
            <w:hideMark/>
          </w:tcPr>
          <w:p w14:paraId="66E35474"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(2)</w:t>
            </w:r>
          </w:p>
        </w:tc>
        <w:tc>
          <w:tcPr>
            <w:tcW w:w="1282" w:type="dxa"/>
            <w:tcBorders>
              <w:top w:val="double" w:sz="4" w:space="0" w:color="auto"/>
            </w:tcBorders>
            <w:shd w:val="clear" w:color="auto" w:fill="auto"/>
            <w:noWrap/>
            <w:vAlign w:val="bottom"/>
            <w:hideMark/>
          </w:tcPr>
          <w:p w14:paraId="3A2BD63C"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(3)</w:t>
            </w:r>
          </w:p>
        </w:tc>
        <w:tc>
          <w:tcPr>
            <w:tcW w:w="1238" w:type="dxa"/>
            <w:tcBorders>
              <w:top w:val="double" w:sz="4" w:space="0" w:color="auto"/>
            </w:tcBorders>
            <w:shd w:val="clear" w:color="auto" w:fill="auto"/>
            <w:noWrap/>
            <w:vAlign w:val="bottom"/>
            <w:hideMark/>
          </w:tcPr>
          <w:p w14:paraId="3EC68B72"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(4)</w:t>
            </w:r>
          </w:p>
        </w:tc>
      </w:tr>
      <w:tr w:rsidR="00097D3C" w:rsidRPr="00097D3C" w14:paraId="42DA4D47" w14:textId="77777777" w:rsidTr="007634DD">
        <w:trPr>
          <w:trHeight w:val="320"/>
        </w:trPr>
        <w:tc>
          <w:tcPr>
            <w:tcW w:w="4410" w:type="dxa"/>
            <w:tcBorders>
              <w:bottom w:val="single" w:sz="4" w:space="0" w:color="auto"/>
            </w:tcBorders>
            <w:shd w:val="clear" w:color="auto" w:fill="auto"/>
            <w:noWrap/>
            <w:vAlign w:val="bottom"/>
            <w:hideMark/>
          </w:tcPr>
          <w:p w14:paraId="7A6E1FB9" w14:textId="5E9C1507" w:rsidR="00097D3C" w:rsidRPr="009A6B84" w:rsidRDefault="00097D3C" w:rsidP="00097D3C">
            <w:pPr>
              <w:spacing w:line="240" w:lineRule="auto"/>
              <w:ind w:firstLine="0"/>
              <w:jc w:val="left"/>
              <w:rPr>
                <w:rFonts w:eastAsia="Times New Roman"/>
                <w:sz w:val="20"/>
                <w:szCs w:val="20"/>
              </w:rPr>
            </w:pPr>
          </w:p>
        </w:tc>
        <w:tc>
          <w:tcPr>
            <w:tcW w:w="1237" w:type="dxa"/>
            <w:tcBorders>
              <w:bottom w:val="single" w:sz="4" w:space="0" w:color="auto"/>
            </w:tcBorders>
            <w:shd w:val="clear" w:color="auto" w:fill="auto"/>
            <w:vAlign w:val="center"/>
            <w:hideMark/>
          </w:tcPr>
          <w:p w14:paraId="6DC3E434" w14:textId="77777777" w:rsidR="00097D3C" w:rsidRPr="009A6B84" w:rsidRDefault="00097D3C" w:rsidP="00097D3C">
            <w:pPr>
              <w:spacing w:line="240" w:lineRule="auto"/>
              <w:ind w:firstLine="0"/>
              <w:jc w:val="left"/>
              <w:rPr>
                <w:rFonts w:eastAsia="Times New Roman"/>
                <w:sz w:val="20"/>
                <w:szCs w:val="20"/>
              </w:rPr>
            </w:pPr>
          </w:p>
        </w:tc>
        <w:tc>
          <w:tcPr>
            <w:tcW w:w="1193" w:type="dxa"/>
            <w:tcBorders>
              <w:bottom w:val="single" w:sz="4" w:space="0" w:color="auto"/>
            </w:tcBorders>
            <w:shd w:val="clear" w:color="auto" w:fill="auto"/>
            <w:vAlign w:val="center"/>
            <w:hideMark/>
          </w:tcPr>
          <w:p w14:paraId="0F16A398" w14:textId="77777777" w:rsidR="00097D3C" w:rsidRPr="009A6B84" w:rsidRDefault="00097D3C" w:rsidP="00097D3C">
            <w:pPr>
              <w:spacing w:line="240" w:lineRule="auto"/>
              <w:ind w:firstLine="0"/>
              <w:jc w:val="center"/>
              <w:rPr>
                <w:rFonts w:eastAsia="Times New Roman"/>
                <w:sz w:val="20"/>
                <w:szCs w:val="20"/>
              </w:rPr>
            </w:pPr>
          </w:p>
        </w:tc>
        <w:tc>
          <w:tcPr>
            <w:tcW w:w="1282" w:type="dxa"/>
            <w:tcBorders>
              <w:bottom w:val="single" w:sz="4" w:space="0" w:color="auto"/>
            </w:tcBorders>
            <w:shd w:val="clear" w:color="auto" w:fill="auto"/>
            <w:vAlign w:val="center"/>
            <w:hideMark/>
          </w:tcPr>
          <w:p w14:paraId="728EA5B4" w14:textId="77777777" w:rsidR="00097D3C" w:rsidRPr="009A6B84" w:rsidRDefault="00097D3C" w:rsidP="00097D3C">
            <w:pPr>
              <w:spacing w:line="240" w:lineRule="auto"/>
              <w:ind w:firstLine="0"/>
              <w:jc w:val="center"/>
              <w:rPr>
                <w:rFonts w:eastAsia="Times New Roman"/>
                <w:sz w:val="20"/>
                <w:szCs w:val="20"/>
              </w:rPr>
            </w:pPr>
          </w:p>
        </w:tc>
        <w:tc>
          <w:tcPr>
            <w:tcW w:w="1238" w:type="dxa"/>
            <w:tcBorders>
              <w:bottom w:val="single" w:sz="4" w:space="0" w:color="auto"/>
            </w:tcBorders>
            <w:shd w:val="clear" w:color="auto" w:fill="auto"/>
            <w:vAlign w:val="center"/>
          </w:tcPr>
          <w:p w14:paraId="6577E007" w14:textId="24DF9878" w:rsidR="00097D3C" w:rsidRPr="009A6B84" w:rsidRDefault="00097D3C" w:rsidP="00097D3C">
            <w:pPr>
              <w:spacing w:line="240" w:lineRule="auto"/>
              <w:ind w:firstLine="0"/>
              <w:jc w:val="center"/>
              <w:rPr>
                <w:rFonts w:eastAsia="Times New Roman"/>
                <w:sz w:val="20"/>
                <w:szCs w:val="20"/>
              </w:rPr>
            </w:pPr>
          </w:p>
        </w:tc>
      </w:tr>
      <w:tr w:rsidR="00097D3C" w:rsidRPr="00097D3C" w14:paraId="70B575E5" w14:textId="77777777" w:rsidTr="007634DD">
        <w:trPr>
          <w:trHeight w:val="2560"/>
        </w:trPr>
        <w:tc>
          <w:tcPr>
            <w:tcW w:w="4410" w:type="dxa"/>
            <w:tcBorders>
              <w:top w:val="single" w:sz="4" w:space="0" w:color="auto"/>
              <w:bottom w:val="single" w:sz="4" w:space="0" w:color="auto"/>
            </w:tcBorders>
            <w:shd w:val="clear" w:color="auto" w:fill="auto"/>
            <w:noWrap/>
            <w:vAlign w:val="bottom"/>
            <w:hideMark/>
          </w:tcPr>
          <w:p w14:paraId="4BD36360"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VARIABLES</w:t>
            </w:r>
          </w:p>
        </w:tc>
        <w:tc>
          <w:tcPr>
            <w:tcW w:w="1237" w:type="dxa"/>
            <w:tcBorders>
              <w:top w:val="single" w:sz="4" w:space="0" w:color="auto"/>
              <w:bottom w:val="single" w:sz="4" w:space="0" w:color="auto"/>
            </w:tcBorders>
            <w:shd w:val="clear" w:color="auto" w:fill="auto"/>
            <w:vAlign w:val="center"/>
            <w:hideMark/>
          </w:tcPr>
          <w:p w14:paraId="079837C4"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Baseline</w:t>
            </w:r>
          </w:p>
        </w:tc>
        <w:tc>
          <w:tcPr>
            <w:tcW w:w="1193" w:type="dxa"/>
            <w:tcBorders>
              <w:top w:val="single" w:sz="4" w:space="0" w:color="auto"/>
              <w:bottom w:val="single" w:sz="4" w:space="0" w:color="auto"/>
            </w:tcBorders>
            <w:shd w:val="clear" w:color="auto" w:fill="auto"/>
            <w:vAlign w:val="center"/>
            <w:hideMark/>
          </w:tcPr>
          <w:p w14:paraId="759FFE2A" w14:textId="42464F25"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Previous Column with Predicted Values of FFRT</w:t>
            </w:r>
            <w:r w:rsidRPr="009F6635">
              <w:rPr>
                <w:rFonts w:eastAsia="Times New Roman"/>
                <w:sz w:val="20"/>
                <w:szCs w:val="20"/>
                <w:vertAlign w:val="subscript"/>
              </w:rPr>
              <w:t>t-1</w:t>
            </w:r>
            <w:r w:rsidRPr="009A6B84">
              <w:rPr>
                <w:rFonts w:eastAsia="Times New Roman"/>
                <w:sz w:val="20"/>
                <w:szCs w:val="20"/>
              </w:rPr>
              <w:t xml:space="preserve"> and Newey</w:t>
            </w:r>
          </w:p>
        </w:tc>
        <w:tc>
          <w:tcPr>
            <w:tcW w:w="1282" w:type="dxa"/>
            <w:tcBorders>
              <w:top w:val="single" w:sz="4" w:space="0" w:color="auto"/>
              <w:bottom w:val="single" w:sz="4" w:space="0" w:color="auto"/>
            </w:tcBorders>
            <w:shd w:val="clear" w:color="auto" w:fill="auto"/>
            <w:vAlign w:val="center"/>
            <w:hideMark/>
          </w:tcPr>
          <w:p w14:paraId="15E698A8" w14:textId="1E571FB3"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Chair Dummies with Predicted Values of FFRT</w:t>
            </w:r>
            <w:r w:rsidRPr="009F6635">
              <w:rPr>
                <w:rFonts w:eastAsia="Times New Roman"/>
                <w:sz w:val="20"/>
                <w:szCs w:val="20"/>
                <w:vertAlign w:val="subscript"/>
              </w:rPr>
              <w:t>t-1</w:t>
            </w:r>
            <w:r w:rsidRPr="009A6B84">
              <w:rPr>
                <w:rFonts w:eastAsia="Times New Roman"/>
                <w:sz w:val="20"/>
                <w:szCs w:val="20"/>
              </w:rPr>
              <w:t xml:space="preserve"> and Newey</w:t>
            </w:r>
          </w:p>
        </w:tc>
        <w:tc>
          <w:tcPr>
            <w:tcW w:w="1238" w:type="dxa"/>
            <w:tcBorders>
              <w:top w:val="single" w:sz="4" w:space="0" w:color="auto"/>
              <w:bottom w:val="single" w:sz="4" w:space="0" w:color="auto"/>
            </w:tcBorders>
            <w:shd w:val="clear" w:color="auto" w:fill="auto"/>
            <w:vAlign w:val="center"/>
            <w:hideMark/>
          </w:tcPr>
          <w:p w14:paraId="47956DBA" w14:textId="44A72D1C" w:rsidR="00097D3C" w:rsidRDefault="00097D3C" w:rsidP="00097D3C">
            <w:pPr>
              <w:spacing w:line="240" w:lineRule="auto"/>
              <w:ind w:firstLine="0"/>
              <w:jc w:val="center"/>
              <w:rPr>
                <w:rFonts w:eastAsia="Times New Roman"/>
                <w:sz w:val="20"/>
                <w:szCs w:val="20"/>
              </w:rPr>
            </w:pPr>
            <w:r w:rsidRPr="009A6B84">
              <w:rPr>
                <w:rFonts w:eastAsia="Times New Roman"/>
                <w:sz w:val="20"/>
                <w:szCs w:val="20"/>
              </w:rPr>
              <w:t>Chair Dummies with Predicted Values of FFRT</w:t>
            </w:r>
            <w:r w:rsidRPr="009F6635">
              <w:rPr>
                <w:rFonts w:eastAsia="Times New Roman"/>
                <w:sz w:val="20"/>
                <w:szCs w:val="20"/>
                <w:vertAlign w:val="subscript"/>
              </w:rPr>
              <w:t>t-1</w:t>
            </w:r>
            <w:r w:rsidRPr="009A6B84">
              <w:rPr>
                <w:rFonts w:eastAsia="Times New Roman"/>
                <w:sz w:val="20"/>
                <w:szCs w:val="20"/>
              </w:rPr>
              <w:t xml:space="preserve"> and Newey</w:t>
            </w:r>
          </w:p>
          <w:p w14:paraId="4A7B2133" w14:textId="5C7A6FA6" w:rsidR="00704442" w:rsidRPr="009A6B84" w:rsidRDefault="00704442" w:rsidP="00097D3C">
            <w:pPr>
              <w:spacing w:line="240" w:lineRule="auto"/>
              <w:ind w:firstLine="0"/>
              <w:jc w:val="center"/>
              <w:rPr>
                <w:rFonts w:eastAsia="Times New Roman"/>
                <w:sz w:val="20"/>
                <w:szCs w:val="20"/>
              </w:rPr>
            </w:pPr>
            <w:r>
              <w:rPr>
                <w:rFonts w:eastAsia="Times New Roman"/>
                <w:sz w:val="20"/>
                <w:szCs w:val="20"/>
              </w:rPr>
              <w:t>No INFL</w:t>
            </w:r>
          </w:p>
        </w:tc>
      </w:tr>
      <w:tr w:rsidR="00097D3C" w:rsidRPr="00097D3C" w14:paraId="12A0D0BA" w14:textId="77777777" w:rsidTr="007634DD">
        <w:trPr>
          <w:trHeight w:val="320"/>
        </w:trPr>
        <w:tc>
          <w:tcPr>
            <w:tcW w:w="4410" w:type="dxa"/>
            <w:tcBorders>
              <w:top w:val="single" w:sz="4" w:space="0" w:color="auto"/>
            </w:tcBorders>
            <w:shd w:val="clear" w:color="auto" w:fill="auto"/>
            <w:noWrap/>
            <w:vAlign w:val="bottom"/>
            <w:hideMark/>
          </w:tcPr>
          <w:p w14:paraId="7C78C042"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p>
        </w:tc>
        <w:tc>
          <w:tcPr>
            <w:tcW w:w="1237" w:type="dxa"/>
            <w:tcBorders>
              <w:top w:val="single" w:sz="4" w:space="0" w:color="auto"/>
            </w:tcBorders>
            <w:shd w:val="clear" w:color="auto" w:fill="auto"/>
            <w:noWrap/>
            <w:vAlign w:val="bottom"/>
            <w:hideMark/>
          </w:tcPr>
          <w:p w14:paraId="3F749DBC"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 </w:t>
            </w:r>
          </w:p>
        </w:tc>
        <w:tc>
          <w:tcPr>
            <w:tcW w:w="1193" w:type="dxa"/>
            <w:tcBorders>
              <w:top w:val="single" w:sz="4" w:space="0" w:color="auto"/>
            </w:tcBorders>
            <w:shd w:val="clear" w:color="auto" w:fill="auto"/>
            <w:noWrap/>
            <w:vAlign w:val="bottom"/>
            <w:hideMark/>
          </w:tcPr>
          <w:p w14:paraId="77D41594"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 </w:t>
            </w:r>
          </w:p>
        </w:tc>
        <w:tc>
          <w:tcPr>
            <w:tcW w:w="1282" w:type="dxa"/>
            <w:tcBorders>
              <w:top w:val="single" w:sz="4" w:space="0" w:color="auto"/>
            </w:tcBorders>
            <w:shd w:val="clear" w:color="auto" w:fill="auto"/>
            <w:noWrap/>
            <w:vAlign w:val="bottom"/>
            <w:hideMark/>
          </w:tcPr>
          <w:p w14:paraId="1E4CB844"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 </w:t>
            </w:r>
          </w:p>
        </w:tc>
        <w:tc>
          <w:tcPr>
            <w:tcW w:w="1238" w:type="dxa"/>
            <w:tcBorders>
              <w:top w:val="single" w:sz="4" w:space="0" w:color="auto"/>
            </w:tcBorders>
            <w:shd w:val="clear" w:color="auto" w:fill="auto"/>
            <w:noWrap/>
            <w:vAlign w:val="bottom"/>
            <w:hideMark/>
          </w:tcPr>
          <w:p w14:paraId="0045D8F5"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 </w:t>
            </w:r>
          </w:p>
        </w:tc>
      </w:tr>
      <w:tr w:rsidR="00097D3C" w:rsidRPr="00097D3C" w14:paraId="490A96B5" w14:textId="77777777" w:rsidTr="007634DD">
        <w:trPr>
          <w:trHeight w:val="320"/>
        </w:trPr>
        <w:tc>
          <w:tcPr>
            <w:tcW w:w="4410" w:type="dxa"/>
            <w:shd w:val="clear" w:color="auto" w:fill="auto"/>
            <w:noWrap/>
            <w:vAlign w:val="bottom"/>
            <w:hideMark/>
          </w:tcPr>
          <w:p w14:paraId="3E741902"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INFL</w:t>
            </w:r>
          </w:p>
        </w:tc>
        <w:tc>
          <w:tcPr>
            <w:tcW w:w="1237" w:type="dxa"/>
            <w:shd w:val="clear" w:color="auto" w:fill="auto"/>
            <w:noWrap/>
            <w:vAlign w:val="bottom"/>
            <w:hideMark/>
          </w:tcPr>
          <w:p w14:paraId="06F034BB"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1.957***</w:t>
            </w:r>
          </w:p>
        </w:tc>
        <w:tc>
          <w:tcPr>
            <w:tcW w:w="1193" w:type="dxa"/>
            <w:shd w:val="clear" w:color="auto" w:fill="auto"/>
            <w:noWrap/>
            <w:vAlign w:val="bottom"/>
            <w:hideMark/>
          </w:tcPr>
          <w:p w14:paraId="4823AF2B"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1.203**</w:t>
            </w:r>
          </w:p>
        </w:tc>
        <w:tc>
          <w:tcPr>
            <w:tcW w:w="1282" w:type="dxa"/>
            <w:shd w:val="clear" w:color="auto" w:fill="auto"/>
            <w:noWrap/>
            <w:vAlign w:val="bottom"/>
            <w:hideMark/>
          </w:tcPr>
          <w:p w14:paraId="1C03D82B"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1.155***</w:t>
            </w:r>
          </w:p>
        </w:tc>
        <w:tc>
          <w:tcPr>
            <w:tcW w:w="1238" w:type="dxa"/>
            <w:shd w:val="clear" w:color="auto" w:fill="auto"/>
            <w:noWrap/>
            <w:vAlign w:val="bottom"/>
            <w:hideMark/>
          </w:tcPr>
          <w:p w14:paraId="5A88B167"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 </w:t>
            </w:r>
          </w:p>
        </w:tc>
      </w:tr>
      <w:tr w:rsidR="00097D3C" w:rsidRPr="00097D3C" w14:paraId="4F44A966" w14:textId="77777777" w:rsidTr="007634DD">
        <w:trPr>
          <w:trHeight w:val="320"/>
        </w:trPr>
        <w:tc>
          <w:tcPr>
            <w:tcW w:w="4410" w:type="dxa"/>
            <w:shd w:val="clear" w:color="auto" w:fill="auto"/>
            <w:noWrap/>
            <w:vAlign w:val="bottom"/>
            <w:hideMark/>
          </w:tcPr>
          <w:p w14:paraId="364472E0"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p>
        </w:tc>
        <w:tc>
          <w:tcPr>
            <w:tcW w:w="1237" w:type="dxa"/>
            <w:shd w:val="clear" w:color="auto" w:fill="auto"/>
            <w:noWrap/>
            <w:vAlign w:val="bottom"/>
            <w:hideMark/>
          </w:tcPr>
          <w:p w14:paraId="7AF7BC09"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(0.561)</w:t>
            </w:r>
          </w:p>
        </w:tc>
        <w:tc>
          <w:tcPr>
            <w:tcW w:w="1193" w:type="dxa"/>
            <w:shd w:val="clear" w:color="auto" w:fill="auto"/>
            <w:noWrap/>
            <w:vAlign w:val="bottom"/>
            <w:hideMark/>
          </w:tcPr>
          <w:p w14:paraId="0CF59C1C"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(0.520)</w:t>
            </w:r>
          </w:p>
        </w:tc>
        <w:tc>
          <w:tcPr>
            <w:tcW w:w="1282" w:type="dxa"/>
            <w:shd w:val="clear" w:color="auto" w:fill="auto"/>
            <w:noWrap/>
            <w:vAlign w:val="bottom"/>
            <w:hideMark/>
          </w:tcPr>
          <w:p w14:paraId="457294F2"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(0.441)</w:t>
            </w:r>
          </w:p>
        </w:tc>
        <w:tc>
          <w:tcPr>
            <w:tcW w:w="1238" w:type="dxa"/>
            <w:shd w:val="clear" w:color="auto" w:fill="auto"/>
            <w:noWrap/>
            <w:vAlign w:val="bottom"/>
            <w:hideMark/>
          </w:tcPr>
          <w:p w14:paraId="57C8D949"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 </w:t>
            </w:r>
          </w:p>
        </w:tc>
      </w:tr>
      <w:tr w:rsidR="00097D3C" w:rsidRPr="00097D3C" w14:paraId="32A9ECEE" w14:textId="77777777" w:rsidTr="007634DD">
        <w:trPr>
          <w:trHeight w:val="320"/>
        </w:trPr>
        <w:tc>
          <w:tcPr>
            <w:tcW w:w="4410" w:type="dxa"/>
            <w:shd w:val="clear" w:color="auto" w:fill="auto"/>
            <w:noWrap/>
            <w:vAlign w:val="bottom"/>
            <w:hideMark/>
          </w:tcPr>
          <w:p w14:paraId="18238CC4"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Annualized Growth Rate of CPI</w:t>
            </w:r>
          </w:p>
        </w:tc>
        <w:tc>
          <w:tcPr>
            <w:tcW w:w="1237" w:type="dxa"/>
            <w:shd w:val="clear" w:color="auto" w:fill="auto"/>
            <w:noWrap/>
            <w:vAlign w:val="bottom"/>
            <w:hideMark/>
          </w:tcPr>
          <w:p w14:paraId="26DC0575"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0.743***</w:t>
            </w:r>
          </w:p>
        </w:tc>
        <w:tc>
          <w:tcPr>
            <w:tcW w:w="1193" w:type="dxa"/>
            <w:shd w:val="clear" w:color="auto" w:fill="auto"/>
            <w:noWrap/>
            <w:vAlign w:val="bottom"/>
            <w:hideMark/>
          </w:tcPr>
          <w:p w14:paraId="61CA3391"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0.312***</w:t>
            </w:r>
          </w:p>
        </w:tc>
        <w:tc>
          <w:tcPr>
            <w:tcW w:w="1282" w:type="dxa"/>
            <w:shd w:val="clear" w:color="auto" w:fill="auto"/>
            <w:noWrap/>
            <w:vAlign w:val="bottom"/>
            <w:hideMark/>
          </w:tcPr>
          <w:p w14:paraId="25292841"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0.223***</w:t>
            </w:r>
          </w:p>
        </w:tc>
        <w:tc>
          <w:tcPr>
            <w:tcW w:w="1238" w:type="dxa"/>
            <w:shd w:val="clear" w:color="auto" w:fill="auto"/>
            <w:noWrap/>
            <w:vAlign w:val="bottom"/>
            <w:hideMark/>
          </w:tcPr>
          <w:p w14:paraId="36FA12A4"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0.334***</w:t>
            </w:r>
          </w:p>
        </w:tc>
      </w:tr>
      <w:tr w:rsidR="00097D3C" w:rsidRPr="00097D3C" w14:paraId="36B10C12" w14:textId="77777777" w:rsidTr="007634DD">
        <w:trPr>
          <w:trHeight w:val="320"/>
        </w:trPr>
        <w:tc>
          <w:tcPr>
            <w:tcW w:w="4410" w:type="dxa"/>
            <w:shd w:val="clear" w:color="auto" w:fill="auto"/>
            <w:noWrap/>
            <w:vAlign w:val="bottom"/>
            <w:hideMark/>
          </w:tcPr>
          <w:p w14:paraId="3BF327A6"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p>
        </w:tc>
        <w:tc>
          <w:tcPr>
            <w:tcW w:w="1237" w:type="dxa"/>
            <w:shd w:val="clear" w:color="auto" w:fill="auto"/>
            <w:noWrap/>
            <w:vAlign w:val="bottom"/>
            <w:hideMark/>
          </w:tcPr>
          <w:p w14:paraId="7A44E631"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(0.058)</w:t>
            </w:r>
          </w:p>
        </w:tc>
        <w:tc>
          <w:tcPr>
            <w:tcW w:w="1193" w:type="dxa"/>
            <w:shd w:val="clear" w:color="auto" w:fill="auto"/>
            <w:noWrap/>
            <w:vAlign w:val="bottom"/>
            <w:hideMark/>
          </w:tcPr>
          <w:p w14:paraId="403FCC4E"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(0.060)</w:t>
            </w:r>
          </w:p>
        </w:tc>
        <w:tc>
          <w:tcPr>
            <w:tcW w:w="1282" w:type="dxa"/>
            <w:shd w:val="clear" w:color="auto" w:fill="auto"/>
            <w:noWrap/>
            <w:vAlign w:val="bottom"/>
            <w:hideMark/>
          </w:tcPr>
          <w:p w14:paraId="6A8D9264"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(0.066)</w:t>
            </w:r>
          </w:p>
        </w:tc>
        <w:tc>
          <w:tcPr>
            <w:tcW w:w="1238" w:type="dxa"/>
            <w:shd w:val="clear" w:color="auto" w:fill="auto"/>
            <w:noWrap/>
            <w:vAlign w:val="bottom"/>
            <w:hideMark/>
          </w:tcPr>
          <w:p w14:paraId="54360029"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(0.074)</w:t>
            </w:r>
          </w:p>
        </w:tc>
      </w:tr>
      <w:tr w:rsidR="00097D3C" w:rsidRPr="00097D3C" w14:paraId="0E2E441A" w14:textId="77777777" w:rsidTr="007634DD">
        <w:trPr>
          <w:trHeight w:val="320"/>
        </w:trPr>
        <w:tc>
          <w:tcPr>
            <w:tcW w:w="4410" w:type="dxa"/>
            <w:shd w:val="clear" w:color="auto" w:fill="auto"/>
            <w:noWrap/>
            <w:vAlign w:val="bottom"/>
            <w:hideMark/>
          </w:tcPr>
          <w:p w14:paraId="4128ECF3"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Civilian Unemployment Rate</w:t>
            </w:r>
          </w:p>
        </w:tc>
        <w:tc>
          <w:tcPr>
            <w:tcW w:w="1237" w:type="dxa"/>
            <w:shd w:val="clear" w:color="auto" w:fill="auto"/>
            <w:noWrap/>
            <w:vAlign w:val="bottom"/>
            <w:hideMark/>
          </w:tcPr>
          <w:p w14:paraId="5A16FB05"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-0.054</w:t>
            </w:r>
          </w:p>
        </w:tc>
        <w:tc>
          <w:tcPr>
            <w:tcW w:w="1193" w:type="dxa"/>
            <w:shd w:val="clear" w:color="auto" w:fill="auto"/>
            <w:noWrap/>
            <w:vAlign w:val="bottom"/>
            <w:hideMark/>
          </w:tcPr>
          <w:p w14:paraId="3EA8D95D"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-0.035</w:t>
            </w:r>
          </w:p>
        </w:tc>
        <w:tc>
          <w:tcPr>
            <w:tcW w:w="1282" w:type="dxa"/>
            <w:shd w:val="clear" w:color="auto" w:fill="auto"/>
            <w:noWrap/>
            <w:vAlign w:val="bottom"/>
            <w:hideMark/>
          </w:tcPr>
          <w:p w14:paraId="6EA7A9DC"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-0.317**</w:t>
            </w:r>
          </w:p>
        </w:tc>
        <w:tc>
          <w:tcPr>
            <w:tcW w:w="1238" w:type="dxa"/>
            <w:shd w:val="clear" w:color="auto" w:fill="auto"/>
            <w:noWrap/>
            <w:vAlign w:val="bottom"/>
            <w:hideMark/>
          </w:tcPr>
          <w:p w14:paraId="312C5E66"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-0.493***</w:t>
            </w:r>
          </w:p>
        </w:tc>
      </w:tr>
      <w:tr w:rsidR="00097D3C" w:rsidRPr="00097D3C" w14:paraId="3F5B2CB9" w14:textId="77777777" w:rsidTr="007634DD">
        <w:trPr>
          <w:trHeight w:val="320"/>
        </w:trPr>
        <w:tc>
          <w:tcPr>
            <w:tcW w:w="4410" w:type="dxa"/>
            <w:shd w:val="clear" w:color="auto" w:fill="auto"/>
            <w:noWrap/>
            <w:vAlign w:val="bottom"/>
            <w:hideMark/>
          </w:tcPr>
          <w:p w14:paraId="1FF75324"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p>
        </w:tc>
        <w:tc>
          <w:tcPr>
            <w:tcW w:w="1237" w:type="dxa"/>
            <w:shd w:val="clear" w:color="auto" w:fill="auto"/>
            <w:noWrap/>
            <w:vAlign w:val="bottom"/>
            <w:hideMark/>
          </w:tcPr>
          <w:p w14:paraId="6E3D60AB"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(0.093)</w:t>
            </w:r>
          </w:p>
        </w:tc>
        <w:tc>
          <w:tcPr>
            <w:tcW w:w="1193" w:type="dxa"/>
            <w:shd w:val="clear" w:color="auto" w:fill="auto"/>
            <w:noWrap/>
            <w:vAlign w:val="bottom"/>
            <w:hideMark/>
          </w:tcPr>
          <w:p w14:paraId="43B28319"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(0.120)</w:t>
            </w:r>
          </w:p>
        </w:tc>
        <w:tc>
          <w:tcPr>
            <w:tcW w:w="1282" w:type="dxa"/>
            <w:shd w:val="clear" w:color="auto" w:fill="auto"/>
            <w:noWrap/>
            <w:vAlign w:val="bottom"/>
            <w:hideMark/>
          </w:tcPr>
          <w:p w14:paraId="325C1D0A"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(0.138)</w:t>
            </w:r>
          </w:p>
        </w:tc>
        <w:tc>
          <w:tcPr>
            <w:tcW w:w="1238" w:type="dxa"/>
            <w:shd w:val="clear" w:color="auto" w:fill="auto"/>
            <w:noWrap/>
            <w:vAlign w:val="bottom"/>
            <w:hideMark/>
          </w:tcPr>
          <w:p w14:paraId="12D2E300"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(0.185)</w:t>
            </w:r>
          </w:p>
        </w:tc>
      </w:tr>
      <w:tr w:rsidR="00097D3C" w:rsidRPr="00097D3C" w14:paraId="240DD2CC" w14:textId="77777777" w:rsidTr="007634DD">
        <w:trPr>
          <w:trHeight w:val="320"/>
        </w:trPr>
        <w:tc>
          <w:tcPr>
            <w:tcW w:w="4410" w:type="dxa"/>
            <w:shd w:val="clear" w:color="auto" w:fill="auto"/>
            <w:noWrap/>
            <w:vAlign w:val="bottom"/>
            <w:hideMark/>
          </w:tcPr>
          <w:p w14:paraId="27CF981D" w14:textId="022A8815"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Break</w:t>
            </w:r>
            <w:r w:rsidR="00785671">
              <w:rPr>
                <w:rFonts w:eastAsia="Times New Roman"/>
                <w:sz w:val="20"/>
                <w:szCs w:val="20"/>
              </w:rPr>
              <w:t xml:space="preserve"> </w:t>
            </w:r>
            <w:r w:rsidRPr="009A6B84">
              <w:rPr>
                <w:rFonts w:eastAsia="Times New Roman"/>
                <w:sz w:val="20"/>
                <w:szCs w:val="20"/>
              </w:rPr>
              <w:t>*</w:t>
            </w:r>
            <w:r w:rsidR="00785671">
              <w:rPr>
                <w:rFonts w:eastAsia="Times New Roman"/>
                <w:sz w:val="20"/>
                <w:szCs w:val="20"/>
              </w:rPr>
              <w:t xml:space="preserve"> </w:t>
            </w:r>
            <w:r w:rsidRPr="009A6B84">
              <w:rPr>
                <w:rFonts w:eastAsia="Times New Roman"/>
                <w:sz w:val="20"/>
                <w:szCs w:val="20"/>
              </w:rPr>
              <w:t>INFL</w:t>
            </w:r>
          </w:p>
        </w:tc>
        <w:tc>
          <w:tcPr>
            <w:tcW w:w="1237" w:type="dxa"/>
            <w:shd w:val="clear" w:color="auto" w:fill="auto"/>
            <w:noWrap/>
            <w:vAlign w:val="bottom"/>
            <w:hideMark/>
          </w:tcPr>
          <w:p w14:paraId="620B6162"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5.364***</w:t>
            </w:r>
          </w:p>
        </w:tc>
        <w:tc>
          <w:tcPr>
            <w:tcW w:w="1193" w:type="dxa"/>
            <w:shd w:val="clear" w:color="auto" w:fill="auto"/>
            <w:noWrap/>
            <w:vAlign w:val="bottom"/>
            <w:hideMark/>
          </w:tcPr>
          <w:p w14:paraId="69A3C610"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4.569***</w:t>
            </w:r>
          </w:p>
        </w:tc>
        <w:tc>
          <w:tcPr>
            <w:tcW w:w="1282" w:type="dxa"/>
            <w:shd w:val="clear" w:color="auto" w:fill="auto"/>
            <w:noWrap/>
            <w:vAlign w:val="bottom"/>
            <w:hideMark/>
          </w:tcPr>
          <w:p w14:paraId="4AF24F5E"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3.972***</w:t>
            </w:r>
          </w:p>
        </w:tc>
        <w:tc>
          <w:tcPr>
            <w:tcW w:w="1238" w:type="dxa"/>
            <w:shd w:val="clear" w:color="auto" w:fill="auto"/>
            <w:noWrap/>
            <w:vAlign w:val="bottom"/>
            <w:hideMark/>
          </w:tcPr>
          <w:p w14:paraId="4CDBB725"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 </w:t>
            </w:r>
          </w:p>
        </w:tc>
      </w:tr>
      <w:tr w:rsidR="00097D3C" w:rsidRPr="00097D3C" w14:paraId="52395379" w14:textId="77777777" w:rsidTr="007634DD">
        <w:trPr>
          <w:trHeight w:val="320"/>
        </w:trPr>
        <w:tc>
          <w:tcPr>
            <w:tcW w:w="4410" w:type="dxa"/>
            <w:shd w:val="clear" w:color="auto" w:fill="auto"/>
            <w:noWrap/>
            <w:vAlign w:val="bottom"/>
            <w:hideMark/>
          </w:tcPr>
          <w:p w14:paraId="415C931B"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p>
        </w:tc>
        <w:tc>
          <w:tcPr>
            <w:tcW w:w="1237" w:type="dxa"/>
            <w:shd w:val="clear" w:color="auto" w:fill="auto"/>
            <w:noWrap/>
            <w:vAlign w:val="bottom"/>
            <w:hideMark/>
          </w:tcPr>
          <w:p w14:paraId="17845917"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(1.698)</w:t>
            </w:r>
          </w:p>
        </w:tc>
        <w:tc>
          <w:tcPr>
            <w:tcW w:w="1193" w:type="dxa"/>
            <w:shd w:val="clear" w:color="auto" w:fill="auto"/>
            <w:noWrap/>
            <w:vAlign w:val="bottom"/>
            <w:hideMark/>
          </w:tcPr>
          <w:p w14:paraId="4B5A7882"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(0.872)</w:t>
            </w:r>
          </w:p>
        </w:tc>
        <w:tc>
          <w:tcPr>
            <w:tcW w:w="1282" w:type="dxa"/>
            <w:shd w:val="clear" w:color="auto" w:fill="auto"/>
            <w:noWrap/>
            <w:vAlign w:val="bottom"/>
            <w:hideMark/>
          </w:tcPr>
          <w:p w14:paraId="68CDF30F"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(0.790)</w:t>
            </w:r>
          </w:p>
        </w:tc>
        <w:tc>
          <w:tcPr>
            <w:tcW w:w="1238" w:type="dxa"/>
            <w:shd w:val="clear" w:color="auto" w:fill="auto"/>
            <w:noWrap/>
            <w:vAlign w:val="bottom"/>
            <w:hideMark/>
          </w:tcPr>
          <w:p w14:paraId="3FF26C80"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 </w:t>
            </w:r>
          </w:p>
        </w:tc>
      </w:tr>
      <w:tr w:rsidR="00097D3C" w:rsidRPr="00097D3C" w14:paraId="31D05425" w14:textId="77777777" w:rsidTr="007634DD">
        <w:trPr>
          <w:trHeight w:val="320"/>
        </w:trPr>
        <w:tc>
          <w:tcPr>
            <w:tcW w:w="4410" w:type="dxa"/>
            <w:shd w:val="clear" w:color="auto" w:fill="auto"/>
            <w:noWrap/>
            <w:vAlign w:val="bottom"/>
            <w:hideMark/>
          </w:tcPr>
          <w:p w14:paraId="7C443526" w14:textId="58B93E4E"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Break</w:t>
            </w:r>
            <w:r w:rsidR="00785671">
              <w:rPr>
                <w:rFonts w:eastAsia="Times New Roman"/>
                <w:sz w:val="20"/>
                <w:szCs w:val="20"/>
              </w:rPr>
              <w:t xml:space="preserve"> </w:t>
            </w:r>
            <w:r w:rsidRPr="009A6B84">
              <w:rPr>
                <w:rFonts w:eastAsia="Times New Roman"/>
                <w:sz w:val="20"/>
                <w:szCs w:val="20"/>
              </w:rPr>
              <w:t>*</w:t>
            </w:r>
            <w:r w:rsidR="00785671">
              <w:rPr>
                <w:rFonts w:eastAsia="Times New Roman"/>
                <w:sz w:val="20"/>
                <w:szCs w:val="20"/>
              </w:rPr>
              <w:t xml:space="preserve"> </w:t>
            </w:r>
            <w:r w:rsidRPr="009A6B84">
              <w:rPr>
                <w:rFonts w:eastAsia="Times New Roman"/>
                <w:sz w:val="20"/>
                <w:szCs w:val="20"/>
              </w:rPr>
              <w:t>CPI</w:t>
            </w:r>
          </w:p>
        </w:tc>
        <w:tc>
          <w:tcPr>
            <w:tcW w:w="1237" w:type="dxa"/>
            <w:shd w:val="clear" w:color="auto" w:fill="auto"/>
            <w:noWrap/>
            <w:vAlign w:val="bottom"/>
            <w:hideMark/>
          </w:tcPr>
          <w:p w14:paraId="5FB7FE18"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-0.357***</w:t>
            </w:r>
          </w:p>
        </w:tc>
        <w:tc>
          <w:tcPr>
            <w:tcW w:w="1193" w:type="dxa"/>
            <w:shd w:val="clear" w:color="auto" w:fill="auto"/>
            <w:noWrap/>
            <w:vAlign w:val="bottom"/>
            <w:hideMark/>
          </w:tcPr>
          <w:p w14:paraId="309BD256"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-0.157</w:t>
            </w:r>
          </w:p>
        </w:tc>
        <w:tc>
          <w:tcPr>
            <w:tcW w:w="1282" w:type="dxa"/>
            <w:shd w:val="clear" w:color="auto" w:fill="auto"/>
            <w:noWrap/>
            <w:vAlign w:val="bottom"/>
            <w:hideMark/>
          </w:tcPr>
          <w:p w14:paraId="64E0EB22"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-0.103</w:t>
            </w:r>
          </w:p>
        </w:tc>
        <w:tc>
          <w:tcPr>
            <w:tcW w:w="1238" w:type="dxa"/>
            <w:shd w:val="clear" w:color="auto" w:fill="auto"/>
            <w:noWrap/>
            <w:vAlign w:val="bottom"/>
            <w:hideMark/>
          </w:tcPr>
          <w:p w14:paraId="23A9528B"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-0.156</w:t>
            </w:r>
          </w:p>
        </w:tc>
      </w:tr>
      <w:tr w:rsidR="00097D3C" w:rsidRPr="00097D3C" w14:paraId="3F7C1E1E" w14:textId="77777777" w:rsidTr="007634DD">
        <w:trPr>
          <w:trHeight w:val="320"/>
        </w:trPr>
        <w:tc>
          <w:tcPr>
            <w:tcW w:w="4410" w:type="dxa"/>
            <w:shd w:val="clear" w:color="auto" w:fill="auto"/>
            <w:noWrap/>
            <w:vAlign w:val="bottom"/>
            <w:hideMark/>
          </w:tcPr>
          <w:p w14:paraId="2038EB61"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p>
        </w:tc>
        <w:tc>
          <w:tcPr>
            <w:tcW w:w="1237" w:type="dxa"/>
            <w:shd w:val="clear" w:color="auto" w:fill="auto"/>
            <w:noWrap/>
            <w:vAlign w:val="bottom"/>
            <w:hideMark/>
          </w:tcPr>
          <w:p w14:paraId="42AABD35"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(0.106)</w:t>
            </w:r>
          </w:p>
        </w:tc>
        <w:tc>
          <w:tcPr>
            <w:tcW w:w="1193" w:type="dxa"/>
            <w:shd w:val="clear" w:color="auto" w:fill="auto"/>
            <w:noWrap/>
            <w:vAlign w:val="bottom"/>
            <w:hideMark/>
          </w:tcPr>
          <w:p w14:paraId="2B297358"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(0.101)</w:t>
            </w:r>
          </w:p>
        </w:tc>
        <w:tc>
          <w:tcPr>
            <w:tcW w:w="1282" w:type="dxa"/>
            <w:shd w:val="clear" w:color="auto" w:fill="auto"/>
            <w:noWrap/>
            <w:vAlign w:val="bottom"/>
            <w:hideMark/>
          </w:tcPr>
          <w:p w14:paraId="703ACFAE"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(0.103)</w:t>
            </w:r>
          </w:p>
        </w:tc>
        <w:tc>
          <w:tcPr>
            <w:tcW w:w="1238" w:type="dxa"/>
            <w:shd w:val="clear" w:color="auto" w:fill="auto"/>
            <w:noWrap/>
            <w:vAlign w:val="bottom"/>
            <w:hideMark/>
          </w:tcPr>
          <w:p w14:paraId="1B3E48D0"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(0.123)</w:t>
            </w:r>
          </w:p>
        </w:tc>
      </w:tr>
      <w:tr w:rsidR="00097D3C" w:rsidRPr="00097D3C" w14:paraId="59D107CB" w14:textId="77777777" w:rsidTr="007634DD">
        <w:trPr>
          <w:trHeight w:val="320"/>
        </w:trPr>
        <w:tc>
          <w:tcPr>
            <w:tcW w:w="4410" w:type="dxa"/>
            <w:shd w:val="clear" w:color="auto" w:fill="auto"/>
            <w:noWrap/>
            <w:vAlign w:val="bottom"/>
            <w:hideMark/>
          </w:tcPr>
          <w:p w14:paraId="179C347A" w14:textId="47AB4942"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Break</w:t>
            </w:r>
            <w:r w:rsidR="00785671">
              <w:rPr>
                <w:rFonts w:eastAsia="Times New Roman"/>
                <w:sz w:val="20"/>
                <w:szCs w:val="20"/>
              </w:rPr>
              <w:t xml:space="preserve"> </w:t>
            </w:r>
            <w:r w:rsidRPr="009A6B84">
              <w:rPr>
                <w:rFonts w:eastAsia="Times New Roman"/>
                <w:sz w:val="20"/>
                <w:szCs w:val="20"/>
              </w:rPr>
              <w:t>*</w:t>
            </w:r>
            <w:r w:rsidR="00785671">
              <w:rPr>
                <w:rFonts w:eastAsia="Times New Roman"/>
                <w:sz w:val="20"/>
                <w:szCs w:val="20"/>
              </w:rPr>
              <w:t xml:space="preserve"> </w:t>
            </w:r>
            <w:r w:rsidRPr="009A6B84">
              <w:rPr>
                <w:rFonts w:eastAsia="Times New Roman"/>
                <w:sz w:val="20"/>
                <w:szCs w:val="20"/>
              </w:rPr>
              <w:t>Unemployment</w:t>
            </w:r>
          </w:p>
        </w:tc>
        <w:tc>
          <w:tcPr>
            <w:tcW w:w="1237" w:type="dxa"/>
            <w:shd w:val="clear" w:color="auto" w:fill="auto"/>
            <w:noWrap/>
            <w:vAlign w:val="bottom"/>
            <w:hideMark/>
          </w:tcPr>
          <w:p w14:paraId="5E95DC0C"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0.516***</w:t>
            </w:r>
          </w:p>
        </w:tc>
        <w:tc>
          <w:tcPr>
            <w:tcW w:w="1193" w:type="dxa"/>
            <w:shd w:val="clear" w:color="auto" w:fill="auto"/>
            <w:noWrap/>
            <w:vAlign w:val="bottom"/>
            <w:hideMark/>
          </w:tcPr>
          <w:p w14:paraId="3627AD40"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0.200</w:t>
            </w:r>
          </w:p>
        </w:tc>
        <w:tc>
          <w:tcPr>
            <w:tcW w:w="1282" w:type="dxa"/>
            <w:shd w:val="clear" w:color="auto" w:fill="auto"/>
            <w:noWrap/>
            <w:vAlign w:val="bottom"/>
            <w:hideMark/>
          </w:tcPr>
          <w:p w14:paraId="2B2E3184"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0.095</w:t>
            </w:r>
          </w:p>
        </w:tc>
        <w:tc>
          <w:tcPr>
            <w:tcW w:w="1238" w:type="dxa"/>
            <w:shd w:val="clear" w:color="auto" w:fill="auto"/>
            <w:noWrap/>
            <w:vAlign w:val="bottom"/>
            <w:hideMark/>
          </w:tcPr>
          <w:p w14:paraId="262E5073"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0.150</w:t>
            </w:r>
          </w:p>
        </w:tc>
      </w:tr>
      <w:tr w:rsidR="00097D3C" w:rsidRPr="00097D3C" w14:paraId="55302AFB" w14:textId="77777777" w:rsidTr="007634DD">
        <w:trPr>
          <w:trHeight w:val="320"/>
        </w:trPr>
        <w:tc>
          <w:tcPr>
            <w:tcW w:w="4410" w:type="dxa"/>
            <w:shd w:val="clear" w:color="auto" w:fill="auto"/>
            <w:noWrap/>
            <w:vAlign w:val="bottom"/>
            <w:hideMark/>
          </w:tcPr>
          <w:p w14:paraId="4324E38B"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p>
        </w:tc>
        <w:tc>
          <w:tcPr>
            <w:tcW w:w="1237" w:type="dxa"/>
            <w:shd w:val="clear" w:color="auto" w:fill="auto"/>
            <w:noWrap/>
            <w:vAlign w:val="bottom"/>
            <w:hideMark/>
          </w:tcPr>
          <w:p w14:paraId="793A1B71"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(0.150)</w:t>
            </w:r>
          </w:p>
        </w:tc>
        <w:tc>
          <w:tcPr>
            <w:tcW w:w="1193" w:type="dxa"/>
            <w:shd w:val="clear" w:color="auto" w:fill="auto"/>
            <w:noWrap/>
            <w:vAlign w:val="bottom"/>
            <w:hideMark/>
          </w:tcPr>
          <w:p w14:paraId="453BB6FC"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(0.197)</w:t>
            </w:r>
          </w:p>
        </w:tc>
        <w:tc>
          <w:tcPr>
            <w:tcW w:w="1282" w:type="dxa"/>
            <w:shd w:val="clear" w:color="auto" w:fill="auto"/>
            <w:noWrap/>
            <w:vAlign w:val="bottom"/>
            <w:hideMark/>
          </w:tcPr>
          <w:p w14:paraId="1EE7C1FB"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(0.156)</w:t>
            </w:r>
          </w:p>
        </w:tc>
        <w:tc>
          <w:tcPr>
            <w:tcW w:w="1238" w:type="dxa"/>
            <w:shd w:val="clear" w:color="auto" w:fill="auto"/>
            <w:noWrap/>
            <w:vAlign w:val="bottom"/>
            <w:hideMark/>
          </w:tcPr>
          <w:p w14:paraId="3C098B42"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(0.198)</w:t>
            </w:r>
          </w:p>
        </w:tc>
      </w:tr>
      <w:tr w:rsidR="00097D3C" w:rsidRPr="00097D3C" w14:paraId="663D23E5" w14:textId="77777777" w:rsidTr="007634DD">
        <w:trPr>
          <w:trHeight w:val="320"/>
        </w:trPr>
        <w:tc>
          <w:tcPr>
            <w:tcW w:w="4410" w:type="dxa"/>
            <w:shd w:val="clear" w:color="auto" w:fill="auto"/>
            <w:noWrap/>
            <w:vAlign w:val="bottom"/>
            <w:hideMark/>
          </w:tcPr>
          <w:p w14:paraId="33EDCE61"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Proportion of Women among All Members</w:t>
            </w:r>
          </w:p>
        </w:tc>
        <w:tc>
          <w:tcPr>
            <w:tcW w:w="1237" w:type="dxa"/>
            <w:shd w:val="clear" w:color="auto" w:fill="auto"/>
            <w:noWrap/>
            <w:vAlign w:val="bottom"/>
            <w:hideMark/>
          </w:tcPr>
          <w:p w14:paraId="451327FE"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-14.578***</w:t>
            </w:r>
          </w:p>
        </w:tc>
        <w:tc>
          <w:tcPr>
            <w:tcW w:w="1193" w:type="dxa"/>
            <w:shd w:val="clear" w:color="auto" w:fill="auto"/>
            <w:noWrap/>
            <w:vAlign w:val="bottom"/>
            <w:hideMark/>
          </w:tcPr>
          <w:p w14:paraId="0AF2236D"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-7.420**</w:t>
            </w:r>
          </w:p>
        </w:tc>
        <w:tc>
          <w:tcPr>
            <w:tcW w:w="1282" w:type="dxa"/>
            <w:shd w:val="clear" w:color="auto" w:fill="auto"/>
            <w:noWrap/>
            <w:vAlign w:val="bottom"/>
            <w:hideMark/>
          </w:tcPr>
          <w:p w14:paraId="0645D282"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-5.699*</w:t>
            </w:r>
          </w:p>
        </w:tc>
        <w:tc>
          <w:tcPr>
            <w:tcW w:w="1238" w:type="dxa"/>
            <w:shd w:val="clear" w:color="auto" w:fill="auto"/>
            <w:noWrap/>
            <w:vAlign w:val="bottom"/>
            <w:hideMark/>
          </w:tcPr>
          <w:p w14:paraId="3FA98AC3"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-5.398</w:t>
            </w:r>
          </w:p>
        </w:tc>
      </w:tr>
      <w:tr w:rsidR="00097D3C" w:rsidRPr="00097D3C" w14:paraId="3A4AE2F0" w14:textId="77777777" w:rsidTr="007634DD">
        <w:trPr>
          <w:trHeight w:val="320"/>
        </w:trPr>
        <w:tc>
          <w:tcPr>
            <w:tcW w:w="4410" w:type="dxa"/>
            <w:shd w:val="clear" w:color="auto" w:fill="auto"/>
            <w:noWrap/>
            <w:vAlign w:val="bottom"/>
            <w:hideMark/>
          </w:tcPr>
          <w:p w14:paraId="5296E5DA"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p>
        </w:tc>
        <w:tc>
          <w:tcPr>
            <w:tcW w:w="1237" w:type="dxa"/>
            <w:shd w:val="clear" w:color="auto" w:fill="auto"/>
            <w:noWrap/>
            <w:vAlign w:val="bottom"/>
            <w:hideMark/>
          </w:tcPr>
          <w:p w14:paraId="01FCB7FD"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(2.405)</w:t>
            </w:r>
          </w:p>
        </w:tc>
        <w:tc>
          <w:tcPr>
            <w:tcW w:w="1193" w:type="dxa"/>
            <w:shd w:val="clear" w:color="auto" w:fill="auto"/>
            <w:noWrap/>
            <w:vAlign w:val="bottom"/>
            <w:hideMark/>
          </w:tcPr>
          <w:p w14:paraId="572B0594"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(2.922)</w:t>
            </w:r>
          </w:p>
        </w:tc>
        <w:tc>
          <w:tcPr>
            <w:tcW w:w="1282" w:type="dxa"/>
            <w:shd w:val="clear" w:color="auto" w:fill="auto"/>
            <w:noWrap/>
            <w:vAlign w:val="bottom"/>
            <w:hideMark/>
          </w:tcPr>
          <w:p w14:paraId="2881E01A"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(3.123)</w:t>
            </w:r>
          </w:p>
        </w:tc>
        <w:tc>
          <w:tcPr>
            <w:tcW w:w="1238" w:type="dxa"/>
            <w:shd w:val="clear" w:color="auto" w:fill="auto"/>
            <w:noWrap/>
            <w:vAlign w:val="bottom"/>
            <w:hideMark/>
          </w:tcPr>
          <w:p w14:paraId="197F0E0E"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(3.747)</w:t>
            </w:r>
          </w:p>
        </w:tc>
      </w:tr>
      <w:tr w:rsidR="00097D3C" w:rsidRPr="00097D3C" w14:paraId="116FE915" w14:textId="77777777" w:rsidTr="007634DD">
        <w:trPr>
          <w:trHeight w:val="320"/>
        </w:trPr>
        <w:tc>
          <w:tcPr>
            <w:tcW w:w="4410" w:type="dxa"/>
            <w:shd w:val="clear" w:color="auto" w:fill="auto"/>
            <w:noWrap/>
            <w:vAlign w:val="bottom"/>
            <w:hideMark/>
          </w:tcPr>
          <w:p w14:paraId="65F0DF56"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Proportion of Economics PhD among All Members</w:t>
            </w:r>
          </w:p>
        </w:tc>
        <w:tc>
          <w:tcPr>
            <w:tcW w:w="1237" w:type="dxa"/>
            <w:shd w:val="clear" w:color="auto" w:fill="auto"/>
            <w:noWrap/>
            <w:vAlign w:val="bottom"/>
            <w:hideMark/>
          </w:tcPr>
          <w:p w14:paraId="64B4D163"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-5.399***</w:t>
            </w:r>
          </w:p>
        </w:tc>
        <w:tc>
          <w:tcPr>
            <w:tcW w:w="1193" w:type="dxa"/>
            <w:shd w:val="clear" w:color="auto" w:fill="auto"/>
            <w:noWrap/>
            <w:vAlign w:val="bottom"/>
            <w:hideMark/>
          </w:tcPr>
          <w:p w14:paraId="07D1B96E"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-2.204</w:t>
            </w:r>
          </w:p>
        </w:tc>
        <w:tc>
          <w:tcPr>
            <w:tcW w:w="1282" w:type="dxa"/>
            <w:shd w:val="clear" w:color="auto" w:fill="auto"/>
            <w:noWrap/>
            <w:vAlign w:val="bottom"/>
            <w:hideMark/>
          </w:tcPr>
          <w:p w14:paraId="13C36B1C"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-2.070</w:t>
            </w:r>
          </w:p>
        </w:tc>
        <w:tc>
          <w:tcPr>
            <w:tcW w:w="1238" w:type="dxa"/>
            <w:shd w:val="clear" w:color="auto" w:fill="auto"/>
            <w:noWrap/>
            <w:vAlign w:val="bottom"/>
            <w:hideMark/>
          </w:tcPr>
          <w:p w14:paraId="4AF0C2D9"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-3.654</w:t>
            </w:r>
          </w:p>
        </w:tc>
      </w:tr>
      <w:tr w:rsidR="00097D3C" w:rsidRPr="00097D3C" w14:paraId="1A2DBCC3" w14:textId="77777777" w:rsidTr="007634DD">
        <w:trPr>
          <w:trHeight w:val="320"/>
        </w:trPr>
        <w:tc>
          <w:tcPr>
            <w:tcW w:w="4410" w:type="dxa"/>
            <w:shd w:val="clear" w:color="auto" w:fill="auto"/>
            <w:noWrap/>
            <w:vAlign w:val="bottom"/>
            <w:hideMark/>
          </w:tcPr>
          <w:p w14:paraId="0D4D93D6"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p>
        </w:tc>
        <w:tc>
          <w:tcPr>
            <w:tcW w:w="1237" w:type="dxa"/>
            <w:shd w:val="clear" w:color="auto" w:fill="auto"/>
            <w:noWrap/>
            <w:vAlign w:val="bottom"/>
            <w:hideMark/>
          </w:tcPr>
          <w:p w14:paraId="742D3DF9"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(1.740)</w:t>
            </w:r>
          </w:p>
        </w:tc>
        <w:tc>
          <w:tcPr>
            <w:tcW w:w="1193" w:type="dxa"/>
            <w:shd w:val="clear" w:color="auto" w:fill="auto"/>
            <w:noWrap/>
            <w:vAlign w:val="bottom"/>
            <w:hideMark/>
          </w:tcPr>
          <w:p w14:paraId="06AF735F"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(2.144)</w:t>
            </w:r>
          </w:p>
        </w:tc>
        <w:tc>
          <w:tcPr>
            <w:tcW w:w="1282" w:type="dxa"/>
            <w:shd w:val="clear" w:color="auto" w:fill="auto"/>
            <w:noWrap/>
            <w:vAlign w:val="bottom"/>
            <w:hideMark/>
          </w:tcPr>
          <w:p w14:paraId="13E9A502"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(2.128)</w:t>
            </w:r>
          </w:p>
        </w:tc>
        <w:tc>
          <w:tcPr>
            <w:tcW w:w="1238" w:type="dxa"/>
            <w:shd w:val="clear" w:color="auto" w:fill="auto"/>
            <w:noWrap/>
            <w:vAlign w:val="bottom"/>
            <w:hideMark/>
          </w:tcPr>
          <w:p w14:paraId="056BF8A0"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(2.982)</w:t>
            </w:r>
          </w:p>
        </w:tc>
      </w:tr>
      <w:tr w:rsidR="00097D3C" w:rsidRPr="00097D3C" w14:paraId="1049E210" w14:textId="77777777" w:rsidTr="007634DD">
        <w:trPr>
          <w:trHeight w:val="320"/>
        </w:trPr>
        <w:tc>
          <w:tcPr>
            <w:tcW w:w="4410" w:type="dxa"/>
            <w:shd w:val="clear" w:color="auto" w:fill="auto"/>
            <w:noWrap/>
            <w:vAlign w:val="bottom"/>
            <w:hideMark/>
          </w:tcPr>
          <w:p w14:paraId="67AF45E0"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Proportion of Republicans among Governors</w:t>
            </w:r>
          </w:p>
        </w:tc>
        <w:tc>
          <w:tcPr>
            <w:tcW w:w="1237" w:type="dxa"/>
            <w:shd w:val="clear" w:color="auto" w:fill="auto"/>
            <w:noWrap/>
            <w:vAlign w:val="bottom"/>
            <w:hideMark/>
          </w:tcPr>
          <w:p w14:paraId="4A1895B0"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-2.616***</w:t>
            </w:r>
          </w:p>
        </w:tc>
        <w:tc>
          <w:tcPr>
            <w:tcW w:w="1193" w:type="dxa"/>
            <w:shd w:val="clear" w:color="auto" w:fill="auto"/>
            <w:noWrap/>
            <w:vAlign w:val="bottom"/>
            <w:hideMark/>
          </w:tcPr>
          <w:p w14:paraId="2C336FAF"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-1.098*</w:t>
            </w:r>
          </w:p>
        </w:tc>
        <w:tc>
          <w:tcPr>
            <w:tcW w:w="1282" w:type="dxa"/>
            <w:shd w:val="clear" w:color="auto" w:fill="auto"/>
            <w:noWrap/>
            <w:vAlign w:val="bottom"/>
            <w:hideMark/>
          </w:tcPr>
          <w:p w14:paraId="4C5051E2"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0.130</w:t>
            </w:r>
          </w:p>
        </w:tc>
        <w:tc>
          <w:tcPr>
            <w:tcW w:w="1238" w:type="dxa"/>
            <w:shd w:val="clear" w:color="auto" w:fill="auto"/>
            <w:noWrap/>
            <w:vAlign w:val="bottom"/>
            <w:hideMark/>
          </w:tcPr>
          <w:p w14:paraId="4062259E"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0.207</w:t>
            </w:r>
          </w:p>
        </w:tc>
      </w:tr>
      <w:tr w:rsidR="00097D3C" w:rsidRPr="00097D3C" w14:paraId="23BCF8B0" w14:textId="77777777" w:rsidTr="007634DD">
        <w:trPr>
          <w:trHeight w:val="320"/>
        </w:trPr>
        <w:tc>
          <w:tcPr>
            <w:tcW w:w="4410" w:type="dxa"/>
            <w:shd w:val="clear" w:color="auto" w:fill="auto"/>
            <w:noWrap/>
            <w:vAlign w:val="bottom"/>
            <w:hideMark/>
          </w:tcPr>
          <w:p w14:paraId="7D72341C"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p>
        </w:tc>
        <w:tc>
          <w:tcPr>
            <w:tcW w:w="1237" w:type="dxa"/>
            <w:shd w:val="clear" w:color="auto" w:fill="auto"/>
            <w:noWrap/>
            <w:vAlign w:val="bottom"/>
            <w:hideMark/>
          </w:tcPr>
          <w:p w14:paraId="21460E22"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(0.445)</w:t>
            </w:r>
          </w:p>
        </w:tc>
        <w:tc>
          <w:tcPr>
            <w:tcW w:w="1193" w:type="dxa"/>
            <w:shd w:val="clear" w:color="auto" w:fill="auto"/>
            <w:noWrap/>
            <w:vAlign w:val="bottom"/>
            <w:hideMark/>
          </w:tcPr>
          <w:p w14:paraId="179900DA"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(0.587)</w:t>
            </w:r>
          </w:p>
        </w:tc>
        <w:tc>
          <w:tcPr>
            <w:tcW w:w="1282" w:type="dxa"/>
            <w:shd w:val="clear" w:color="auto" w:fill="auto"/>
            <w:noWrap/>
            <w:vAlign w:val="bottom"/>
            <w:hideMark/>
          </w:tcPr>
          <w:p w14:paraId="63C25E25"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(0.766)</w:t>
            </w:r>
          </w:p>
        </w:tc>
        <w:tc>
          <w:tcPr>
            <w:tcW w:w="1238" w:type="dxa"/>
            <w:shd w:val="clear" w:color="auto" w:fill="auto"/>
            <w:noWrap/>
            <w:vAlign w:val="bottom"/>
            <w:hideMark/>
          </w:tcPr>
          <w:p w14:paraId="32A29F10"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(0.950)</w:t>
            </w:r>
          </w:p>
        </w:tc>
      </w:tr>
      <w:tr w:rsidR="00097D3C" w:rsidRPr="00097D3C" w14:paraId="3E70E5C1" w14:textId="77777777" w:rsidTr="007634DD">
        <w:trPr>
          <w:trHeight w:val="320"/>
        </w:trPr>
        <w:tc>
          <w:tcPr>
            <w:tcW w:w="4410" w:type="dxa"/>
            <w:shd w:val="clear" w:color="auto" w:fill="auto"/>
            <w:noWrap/>
            <w:vAlign w:val="bottom"/>
            <w:hideMark/>
          </w:tcPr>
          <w:p w14:paraId="239D438B"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Bernanke</w:t>
            </w:r>
          </w:p>
        </w:tc>
        <w:tc>
          <w:tcPr>
            <w:tcW w:w="1237" w:type="dxa"/>
            <w:shd w:val="clear" w:color="auto" w:fill="auto"/>
            <w:noWrap/>
            <w:vAlign w:val="bottom"/>
            <w:hideMark/>
          </w:tcPr>
          <w:p w14:paraId="6334E989" w14:textId="77777777" w:rsidR="00097D3C" w:rsidRPr="009A6B84" w:rsidRDefault="00097D3C" w:rsidP="00097D3C">
            <w:pPr>
              <w:spacing w:line="240" w:lineRule="auto"/>
              <w:ind w:firstLine="0"/>
              <w:jc w:val="left"/>
              <w:rPr>
                <w:rFonts w:eastAsia="Times New Roman"/>
                <w:sz w:val="20"/>
                <w:szCs w:val="20"/>
              </w:rPr>
            </w:pPr>
          </w:p>
        </w:tc>
        <w:tc>
          <w:tcPr>
            <w:tcW w:w="1193" w:type="dxa"/>
            <w:shd w:val="clear" w:color="auto" w:fill="auto"/>
            <w:noWrap/>
            <w:vAlign w:val="bottom"/>
            <w:hideMark/>
          </w:tcPr>
          <w:p w14:paraId="7FF015E4" w14:textId="77777777" w:rsidR="00097D3C" w:rsidRPr="009A6B84" w:rsidRDefault="00097D3C" w:rsidP="00097D3C">
            <w:pPr>
              <w:spacing w:line="240" w:lineRule="auto"/>
              <w:ind w:firstLine="0"/>
              <w:jc w:val="center"/>
              <w:rPr>
                <w:rFonts w:eastAsia="Times New Roman"/>
                <w:sz w:val="20"/>
                <w:szCs w:val="20"/>
              </w:rPr>
            </w:pPr>
          </w:p>
        </w:tc>
        <w:tc>
          <w:tcPr>
            <w:tcW w:w="1282" w:type="dxa"/>
            <w:shd w:val="clear" w:color="auto" w:fill="auto"/>
            <w:noWrap/>
            <w:vAlign w:val="bottom"/>
            <w:hideMark/>
          </w:tcPr>
          <w:p w14:paraId="3884C5F6"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0.092</w:t>
            </w:r>
          </w:p>
        </w:tc>
        <w:tc>
          <w:tcPr>
            <w:tcW w:w="1238" w:type="dxa"/>
            <w:shd w:val="clear" w:color="auto" w:fill="auto"/>
            <w:noWrap/>
            <w:vAlign w:val="bottom"/>
            <w:hideMark/>
          </w:tcPr>
          <w:p w14:paraId="58AB4B34"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6.333**</w:t>
            </w:r>
          </w:p>
        </w:tc>
      </w:tr>
      <w:tr w:rsidR="00097D3C" w:rsidRPr="00097D3C" w14:paraId="4D3879AD" w14:textId="77777777" w:rsidTr="007634DD">
        <w:trPr>
          <w:trHeight w:val="320"/>
        </w:trPr>
        <w:tc>
          <w:tcPr>
            <w:tcW w:w="4410" w:type="dxa"/>
            <w:shd w:val="clear" w:color="auto" w:fill="auto"/>
            <w:noWrap/>
            <w:vAlign w:val="bottom"/>
            <w:hideMark/>
          </w:tcPr>
          <w:p w14:paraId="0C2AEB1E"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p>
        </w:tc>
        <w:tc>
          <w:tcPr>
            <w:tcW w:w="1237" w:type="dxa"/>
            <w:shd w:val="clear" w:color="auto" w:fill="auto"/>
            <w:noWrap/>
            <w:vAlign w:val="bottom"/>
            <w:hideMark/>
          </w:tcPr>
          <w:p w14:paraId="658A94BE" w14:textId="77777777" w:rsidR="00097D3C" w:rsidRPr="009A6B84" w:rsidRDefault="00097D3C" w:rsidP="00097D3C">
            <w:pPr>
              <w:spacing w:line="240" w:lineRule="auto"/>
              <w:ind w:firstLine="0"/>
              <w:jc w:val="left"/>
              <w:rPr>
                <w:rFonts w:eastAsia="Times New Roman"/>
                <w:sz w:val="20"/>
                <w:szCs w:val="20"/>
              </w:rPr>
            </w:pPr>
          </w:p>
        </w:tc>
        <w:tc>
          <w:tcPr>
            <w:tcW w:w="1193" w:type="dxa"/>
            <w:shd w:val="clear" w:color="auto" w:fill="auto"/>
            <w:noWrap/>
            <w:vAlign w:val="bottom"/>
            <w:hideMark/>
          </w:tcPr>
          <w:p w14:paraId="10793BBB" w14:textId="77777777" w:rsidR="00097D3C" w:rsidRPr="009A6B84" w:rsidRDefault="00097D3C" w:rsidP="00097D3C">
            <w:pPr>
              <w:spacing w:line="240" w:lineRule="auto"/>
              <w:ind w:firstLine="0"/>
              <w:jc w:val="center"/>
              <w:rPr>
                <w:rFonts w:eastAsia="Times New Roman"/>
                <w:sz w:val="20"/>
                <w:szCs w:val="20"/>
              </w:rPr>
            </w:pPr>
          </w:p>
        </w:tc>
        <w:tc>
          <w:tcPr>
            <w:tcW w:w="1282" w:type="dxa"/>
            <w:shd w:val="clear" w:color="auto" w:fill="auto"/>
            <w:noWrap/>
            <w:vAlign w:val="bottom"/>
            <w:hideMark/>
          </w:tcPr>
          <w:p w14:paraId="15F52E55"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(2.388)</w:t>
            </w:r>
          </w:p>
        </w:tc>
        <w:tc>
          <w:tcPr>
            <w:tcW w:w="1238" w:type="dxa"/>
            <w:shd w:val="clear" w:color="auto" w:fill="auto"/>
            <w:noWrap/>
            <w:vAlign w:val="bottom"/>
            <w:hideMark/>
          </w:tcPr>
          <w:p w14:paraId="79FF2B99"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(2.769)</w:t>
            </w:r>
          </w:p>
        </w:tc>
      </w:tr>
      <w:tr w:rsidR="00097D3C" w:rsidRPr="00097D3C" w14:paraId="5F7DB07D" w14:textId="77777777" w:rsidTr="007634DD">
        <w:trPr>
          <w:trHeight w:val="320"/>
        </w:trPr>
        <w:tc>
          <w:tcPr>
            <w:tcW w:w="4410" w:type="dxa"/>
            <w:shd w:val="clear" w:color="auto" w:fill="auto"/>
            <w:noWrap/>
            <w:vAlign w:val="bottom"/>
            <w:hideMark/>
          </w:tcPr>
          <w:p w14:paraId="0AA0CDAC"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Burns</w:t>
            </w:r>
          </w:p>
        </w:tc>
        <w:tc>
          <w:tcPr>
            <w:tcW w:w="1237" w:type="dxa"/>
            <w:shd w:val="clear" w:color="auto" w:fill="auto"/>
            <w:noWrap/>
            <w:vAlign w:val="bottom"/>
            <w:hideMark/>
          </w:tcPr>
          <w:p w14:paraId="55FF0192" w14:textId="77777777" w:rsidR="00097D3C" w:rsidRPr="009A6B84" w:rsidRDefault="00097D3C" w:rsidP="00097D3C">
            <w:pPr>
              <w:spacing w:line="240" w:lineRule="auto"/>
              <w:ind w:firstLine="0"/>
              <w:jc w:val="left"/>
              <w:rPr>
                <w:rFonts w:eastAsia="Times New Roman"/>
                <w:sz w:val="20"/>
                <w:szCs w:val="20"/>
              </w:rPr>
            </w:pPr>
          </w:p>
        </w:tc>
        <w:tc>
          <w:tcPr>
            <w:tcW w:w="1193" w:type="dxa"/>
            <w:shd w:val="clear" w:color="auto" w:fill="auto"/>
            <w:noWrap/>
            <w:vAlign w:val="bottom"/>
            <w:hideMark/>
          </w:tcPr>
          <w:p w14:paraId="32EC1FD2" w14:textId="77777777" w:rsidR="00097D3C" w:rsidRPr="009A6B84" w:rsidRDefault="00097D3C" w:rsidP="00097D3C">
            <w:pPr>
              <w:spacing w:line="240" w:lineRule="auto"/>
              <w:ind w:firstLine="0"/>
              <w:jc w:val="center"/>
              <w:rPr>
                <w:rFonts w:eastAsia="Times New Roman"/>
                <w:sz w:val="20"/>
                <w:szCs w:val="20"/>
              </w:rPr>
            </w:pPr>
          </w:p>
        </w:tc>
        <w:tc>
          <w:tcPr>
            <w:tcW w:w="1282" w:type="dxa"/>
            <w:shd w:val="clear" w:color="auto" w:fill="auto"/>
            <w:noWrap/>
            <w:vAlign w:val="bottom"/>
            <w:hideMark/>
          </w:tcPr>
          <w:p w14:paraId="278D96B4"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3.629***</w:t>
            </w:r>
          </w:p>
        </w:tc>
        <w:tc>
          <w:tcPr>
            <w:tcW w:w="1238" w:type="dxa"/>
            <w:shd w:val="clear" w:color="auto" w:fill="auto"/>
            <w:noWrap/>
            <w:vAlign w:val="bottom"/>
            <w:hideMark/>
          </w:tcPr>
          <w:p w14:paraId="7DDB41F1"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6.229***</w:t>
            </w:r>
          </w:p>
        </w:tc>
      </w:tr>
      <w:tr w:rsidR="00097D3C" w:rsidRPr="00097D3C" w14:paraId="326C25F8" w14:textId="77777777" w:rsidTr="007634DD">
        <w:trPr>
          <w:trHeight w:val="320"/>
        </w:trPr>
        <w:tc>
          <w:tcPr>
            <w:tcW w:w="4410" w:type="dxa"/>
            <w:shd w:val="clear" w:color="auto" w:fill="auto"/>
            <w:noWrap/>
            <w:vAlign w:val="bottom"/>
            <w:hideMark/>
          </w:tcPr>
          <w:p w14:paraId="73E881A6"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p>
        </w:tc>
        <w:tc>
          <w:tcPr>
            <w:tcW w:w="1237" w:type="dxa"/>
            <w:shd w:val="clear" w:color="auto" w:fill="auto"/>
            <w:noWrap/>
            <w:vAlign w:val="bottom"/>
            <w:hideMark/>
          </w:tcPr>
          <w:p w14:paraId="39C2C021" w14:textId="77777777" w:rsidR="00097D3C" w:rsidRPr="009A6B84" w:rsidRDefault="00097D3C" w:rsidP="00097D3C">
            <w:pPr>
              <w:spacing w:line="240" w:lineRule="auto"/>
              <w:ind w:firstLine="0"/>
              <w:jc w:val="left"/>
              <w:rPr>
                <w:rFonts w:eastAsia="Times New Roman"/>
                <w:sz w:val="20"/>
                <w:szCs w:val="20"/>
              </w:rPr>
            </w:pPr>
          </w:p>
        </w:tc>
        <w:tc>
          <w:tcPr>
            <w:tcW w:w="1193" w:type="dxa"/>
            <w:shd w:val="clear" w:color="auto" w:fill="auto"/>
            <w:noWrap/>
            <w:vAlign w:val="bottom"/>
            <w:hideMark/>
          </w:tcPr>
          <w:p w14:paraId="7F519185" w14:textId="77777777" w:rsidR="00097D3C" w:rsidRPr="009A6B84" w:rsidRDefault="00097D3C" w:rsidP="00097D3C">
            <w:pPr>
              <w:spacing w:line="240" w:lineRule="auto"/>
              <w:ind w:firstLine="0"/>
              <w:jc w:val="center"/>
              <w:rPr>
                <w:rFonts w:eastAsia="Times New Roman"/>
                <w:sz w:val="20"/>
                <w:szCs w:val="20"/>
              </w:rPr>
            </w:pPr>
          </w:p>
        </w:tc>
        <w:tc>
          <w:tcPr>
            <w:tcW w:w="1282" w:type="dxa"/>
            <w:shd w:val="clear" w:color="auto" w:fill="auto"/>
            <w:noWrap/>
            <w:vAlign w:val="bottom"/>
            <w:hideMark/>
          </w:tcPr>
          <w:p w14:paraId="77488BDB"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(1.205)</w:t>
            </w:r>
          </w:p>
        </w:tc>
        <w:tc>
          <w:tcPr>
            <w:tcW w:w="1238" w:type="dxa"/>
            <w:shd w:val="clear" w:color="auto" w:fill="auto"/>
            <w:noWrap/>
            <w:vAlign w:val="bottom"/>
            <w:hideMark/>
          </w:tcPr>
          <w:p w14:paraId="352A4A2B"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(1.648)</w:t>
            </w:r>
          </w:p>
        </w:tc>
      </w:tr>
      <w:tr w:rsidR="00097D3C" w:rsidRPr="00097D3C" w14:paraId="0119036C" w14:textId="77777777" w:rsidTr="007634DD">
        <w:trPr>
          <w:trHeight w:val="320"/>
        </w:trPr>
        <w:tc>
          <w:tcPr>
            <w:tcW w:w="4410" w:type="dxa"/>
            <w:shd w:val="clear" w:color="auto" w:fill="auto"/>
            <w:noWrap/>
            <w:vAlign w:val="bottom"/>
            <w:hideMark/>
          </w:tcPr>
          <w:p w14:paraId="79F96678"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Greenspan</w:t>
            </w:r>
          </w:p>
        </w:tc>
        <w:tc>
          <w:tcPr>
            <w:tcW w:w="1237" w:type="dxa"/>
            <w:shd w:val="clear" w:color="auto" w:fill="auto"/>
            <w:noWrap/>
            <w:vAlign w:val="bottom"/>
            <w:hideMark/>
          </w:tcPr>
          <w:p w14:paraId="6FDCFF74" w14:textId="77777777" w:rsidR="00097D3C" w:rsidRPr="009A6B84" w:rsidRDefault="00097D3C" w:rsidP="00097D3C">
            <w:pPr>
              <w:spacing w:line="240" w:lineRule="auto"/>
              <w:ind w:firstLine="0"/>
              <w:jc w:val="left"/>
              <w:rPr>
                <w:rFonts w:eastAsia="Times New Roman"/>
                <w:sz w:val="20"/>
                <w:szCs w:val="20"/>
              </w:rPr>
            </w:pPr>
          </w:p>
        </w:tc>
        <w:tc>
          <w:tcPr>
            <w:tcW w:w="1193" w:type="dxa"/>
            <w:shd w:val="clear" w:color="auto" w:fill="auto"/>
            <w:noWrap/>
            <w:vAlign w:val="bottom"/>
            <w:hideMark/>
          </w:tcPr>
          <w:p w14:paraId="0C40FAB5" w14:textId="77777777" w:rsidR="00097D3C" w:rsidRPr="009A6B84" w:rsidRDefault="00097D3C" w:rsidP="00097D3C">
            <w:pPr>
              <w:spacing w:line="240" w:lineRule="auto"/>
              <w:ind w:firstLine="0"/>
              <w:jc w:val="center"/>
              <w:rPr>
                <w:rFonts w:eastAsia="Times New Roman"/>
                <w:sz w:val="20"/>
                <w:szCs w:val="20"/>
              </w:rPr>
            </w:pPr>
          </w:p>
        </w:tc>
        <w:tc>
          <w:tcPr>
            <w:tcW w:w="1282" w:type="dxa"/>
            <w:shd w:val="clear" w:color="auto" w:fill="auto"/>
            <w:noWrap/>
            <w:vAlign w:val="bottom"/>
            <w:hideMark/>
          </w:tcPr>
          <w:p w14:paraId="33DEA515"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1.107</w:t>
            </w:r>
          </w:p>
        </w:tc>
        <w:tc>
          <w:tcPr>
            <w:tcW w:w="1238" w:type="dxa"/>
            <w:shd w:val="clear" w:color="auto" w:fill="auto"/>
            <w:noWrap/>
            <w:vAlign w:val="bottom"/>
            <w:hideMark/>
          </w:tcPr>
          <w:p w14:paraId="7F6FDA5C"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6.934**</w:t>
            </w:r>
          </w:p>
        </w:tc>
      </w:tr>
      <w:tr w:rsidR="00097D3C" w:rsidRPr="00097D3C" w14:paraId="0F45DCDE" w14:textId="77777777" w:rsidTr="007634DD">
        <w:trPr>
          <w:trHeight w:val="320"/>
        </w:trPr>
        <w:tc>
          <w:tcPr>
            <w:tcW w:w="4410" w:type="dxa"/>
            <w:shd w:val="clear" w:color="auto" w:fill="auto"/>
            <w:noWrap/>
            <w:vAlign w:val="bottom"/>
            <w:hideMark/>
          </w:tcPr>
          <w:p w14:paraId="37A4ED6C"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p>
        </w:tc>
        <w:tc>
          <w:tcPr>
            <w:tcW w:w="1237" w:type="dxa"/>
            <w:shd w:val="clear" w:color="auto" w:fill="auto"/>
            <w:noWrap/>
            <w:vAlign w:val="bottom"/>
            <w:hideMark/>
          </w:tcPr>
          <w:p w14:paraId="4D352200" w14:textId="77777777" w:rsidR="00097D3C" w:rsidRPr="009A6B84" w:rsidRDefault="00097D3C" w:rsidP="00097D3C">
            <w:pPr>
              <w:spacing w:line="240" w:lineRule="auto"/>
              <w:ind w:firstLine="0"/>
              <w:jc w:val="left"/>
              <w:rPr>
                <w:rFonts w:eastAsia="Times New Roman"/>
                <w:sz w:val="20"/>
                <w:szCs w:val="20"/>
              </w:rPr>
            </w:pPr>
          </w:p>
        </w:tc>
        <w:tc>
          <w:tcPr>
            <w:tcW w:w="1193" w:type="dxa"/>
            <w:shd w:val="clear" w:color="auto" w:fill="auto"/>
            <w:noWrap/>
            <w:vAlign w:val="bottom"/>
            <w:hideMark/>
          </w:tcPr>
          <w:p w14:paraId="0A66302C" w14:textId="77777777" w:rsidR="00097D3C" w:rsidRPr="009A6B84" w:rsidRDefault="00097D3C" w:rsidP="00097D3C">
            <w:pPr>
              <w:spacing w:line="240" w:lineRule="auto"/>
              <w:ind w:firstLine="0"/>
              <w:jc w:val="center"/>
              <w:rPr>
                <w:rFonts w:eastAsia="Times New Roman"/>
                <w:sz w:val="20"/>
                <w:szCs w:val="20"/>
              </w:rPr>
            </w:pPr>
          </w:p>
        </w:tc>
        <w:tc>
          <w:tcPr>
            <w:tcW w:w="1282" w:type="dxa"/>
            <w:shd w:val="clear" w:color="auto" w:fill="auto"/>
            <w:noWrap/>
            <w:vAlign w:val="bottom"/>
            <w:hideMark/>
          </w:tcPr>
          <w:p w14:paraId="0D52B71E"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(2.158)</w:t>
            </w:r>
          </w:p>
        </w:tc>
        <w:tc>
          <w:tcPr>
            <w:tcW w:w="1238" w:type="dxa"/>
            <w:shd w:val="clear" w:color="auto" w:fill="auto"/>
            <w:noWrap/>
            <w:vAlign w:val="bottom"/>
            <w:hideMark/>
          </w:tcPr>
          <w:p w14:paraId="3947B70A"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(2.693)</w:t>
            </w:r>
          </w:p>
        </w:tc>
      </w:tr>
      <w:tr w:rsidR="00097D3C" w:rsidRPr="00097D3C" w14:paraId="0E3B093C" w14:textId="77777777" w:rsidTr="007634DD">
        <w:trPr>
          <w:trHeight w:val="320"/>
        </w:trPr>
        <w:tc>
          <w:tcPr>
            <w:tcW w:w="4410" w:type="dxa"/>
            <w:shd w:val="clear" w:color="auto" w:fill="auto"/>
            <w:noWrap/>
            <w:vAlign w:val="bottom"/>
            <w:hideMark/>
          </w:tcPr>
          <w:p w14:paraId="0636E926"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Martin</w:t>
            </w:r>
          </w:p>
        </w:tc>
        <w:tc>
          <w:tcPr>
            <w:tcW w:w="1237" w:type="dxa"/>
            <w:shd w:val="clear" w:color="auto" w:fill="auto"/>
            <w:noWrap/>
            <w:vAlign w:val="bottom"/>
            <w:hideMark/>
          </w:tcPr>
          <w:p w14:paraId="039B08A3" w14:textId="77777777" w:rsidR="00097D3C" w:rsidRPr="009A6B84" w:rsidRDefault="00097D3C" w:rsidP="00097D3C">
            <w:pPr>
              <w:spacing w:line="240" w:lineRule="auto"/>
              <w:ind w:firstLine="0"/>
              <w:jc w:val="left"/>
              <w:rPr>
                <w:rFonts w:eastAsia="Times New Roman"/>
                <w:sz w:val="20"/>
                <w:szCs w:val="20"/>
              </w:rPr>
            </w:pPr>
          </w:p>
        </w:tc>
        <w:tc>
          <w:tcPr>
            <w:tcW w:w="1193" w:type="dxa"/>
            <w:shd w:val="clear" w:color="auto" w:fill="auto"/>
            <w:noWrap/>
            <w:vAlign w:val="bottom"/>
            <w:hideMark/>
          </w:tcPr>
          <w:p w14:paraId="6DA700AC" w14:textId="77777777" w:rsidR="00097D3C" w:rsidRPr="009A6B84" w:rsidRDefault="00097D3C" w:rsidP="00097D3C">
            <w:pPr>
              <w:spacing w:line="240" w:lineRule="auto"/>
              <w:ind w:firstLine="0"/>
              <w:jc w:val="center"/>
              <w:rPr>
                <w:rFonts w:eastAsia="Times New Roman"/>
                <w:sz w:val="20"/>
                <w:szCs w:val="20"/>
              </w:rPr>
            </w:pPr>
          </w:p>
        </w:tc>
        <w:tc>
          <w:tcPr>
            <w:tcW w:w="1282" w:type="dxa"/>
            <w:shd w:val="clear" w:color="auto" w:fill="auto"/>
            <w:noWrap/>
            <w:vAlign w:val="bottom"/>
            <w:hideMark/>
          </w:tcPr>
          <w:p w14:paraId="3AD1ADD0"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3.083***</w:t>
            </w:r>
          </w:p>
        </w:tc>
        <w:tc>
          <w:tcPr>
            <w:tcW w:w="1238" w:type="dxa"/>
            <w:shd w:val="clear" w:color="auto" w:fill="auto"/>
            <w:noWrap/>
            <w:vAlign w:val="bottom"/>
            <w:hideMark/>
          </w:tcPr>
          <w:p w14:paraId="1905CAA0"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5.156***</w:t>
            </w:r>
          </w:p>
        </w:tc>
      </w:tr>
      <w:tr w:rsidR="00097D3C" w:rsidRPr="00097D3C" w14:paraId="0162E13C" w14:textId="77777777" w:rsidTr="007634DD">
        <w:trPr>
          <w:trHeight w:val="320"/>
        </w:trPr>
        <w:tc>
          <w:tcPr>
            <w:tcW w:w="4410" w:type="dxa"/>
            <w:shd w:val="clear" w:color="auto" w:fill="auto"/>
            <w:noWrap/>
            <w:vAlign w:val="bottom"/>
            <w:hideMark/>
          </w:tcPr>
          <w:p w14:paraId="09DE039D"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p>
        </w:tc>
        <w:tc>
          <w:tcPr>
            <w:tcW w:w="1237" w:type="dxa"/>
            <w:shd w:val="clear" w:color="auto" w:fill="auto"/>
            <w:noWrap/>
            <w:vAlign w:val="bottom"/>
            <w:hideMark/>
          </w:tcPr>
          <w:p w14:paraId="253D5615" w14:textId="77777777" w:rsidR="00097D3C" w:rsidRPr="009A6B84" w:rsidRDefault="00097D3C" w:rsidP="00097D3C">
            <w:pPr>
              <w:spacing w:line="240" w:lineRule="auto"/>
              <w:ind w:firstLine="0"/>
              <w:jc w:val="left"/>
              <w:rPr>
                <w:rFonts w:eastAsia="Times New Roman"/>
                <w:sz w:val="20"/>
                <w:szCs w:val="20"/>
              </w:rPr>
            </w:pPr>
          </w:p>
        </w:tc>
        <w:tc>
          <w:tcPr>
            <w:tcW w:w="1193" w:type="dxa"/>
            <w:shd w:val="clear" w:color="auto" w:fill="auto"/>
            <w:noWrap/>
            <w:vAlign w:val="bottom"/>
            <w:hideMark/>
          </w:tcPr>
          <w:p w14:paraId="3D1C3860" w14:textId="77777777" w:rsidR="00097D3C" w:rsidRPr="009A6B84" w:rsidRDefault="00097D3C" w:rsidP="00097D3C">
            <w:pPr>
              <w:spacing w:line="240" w:lineRule="auto"/>
              <w:ind w:firstLine="0"/>
              <w:jc w:val="center"/>
              <w:rPr>
                <w:rFonts w:eastAsia="Times New Roman"/>
                <w:sz w:val="20"/>
                <w:szCs w:val="20"/>
              </w:rPr>
            </w:pPr>
          </w:p>
        </w:tc>
        <w:tc>
          <w:tcPr>
            <w:tcW w:w="1282" w:type="dxa"/>
            <w:shd w:val="clear" w:color="auto" w:fill="auto"/>
            <w:noWrap/>
            <w:vAlign w:val="bottom"/>
            <w:hideMark/>
          </w:tcPr>
          <w:p w14:paraId="7EAB7F0E"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(0.852)</w:t>
            </w:r>
          </w:p>
        </w:tc>
        <w:tc>
          <w:tcPr>
            <w:tcW w:w="1238" w:type="dxa"/>
            <w:shd w:val="clear" w:color="auto" w:fill="auto"/>
            <w:noWrap/>
            <w:vAlign w:val="bottom"/>
            <w:hideMark/>
          </w:tcPr>
          <w:p w14:paraId="14364788"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(1.246)</w:t>
            </w:r>
          </w:p>
        </w:tc>
      </w:tr>
      <w:tr w:rsidR="00097D3C" w:rsidRPr="00097D3C" w14:paraId="2CE3B6DD" w14:textId="77777777" w:rsidTr="007634DD">
        <w:trPr>
          <w:trHeight w:val="320"/>
        </w:trPr>
        <w:tc>
          <w:tcPr>
            <w:tcW w:w="4410" w:type="dxa"/>
            <w:shd w:val="clear" w:color="auto" w:fill="auto"/>
            <w:noWrap/>
            <w:vAlign w:val="bottom"/>
            <w:hideMark/>
          </w:tcPr>
          <w:p w14:paraId="49677072"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lastRenderedPageBreak/>
              <w:t>Miller</w:t>
            </w:r>
          </w:p>
        </w:tc>
        <w:tc>
          <w:tcPr>
            <w:tcW w:w="1237" w:type="dxa"/>
            <w:shd w:val="clear" w:color="auto" w:fill="auto"/>
            <w:noWrap/>
            <w:vAlign w:val="bottom"/>
            <w:hideMark/>
          </w:tcPr>
          <w:p w14:paraId="2051A15B" w14:textId="77777777" w:rsidR="00097D3C" w:rsidRPr="009A6B84" w:rsidRDefault="00097D3C" w:rsidP="00097D3C">
            <w:pPr>
              <w:spacing w:line="240" w:lineRule="auto"/>
              <w:ind w:firstLine="0"/>
              <w:jc w:val="left"/>
              <w:rPr>
                <w:rFonts w:eastAsia="Times New Roman"/>
                <w:sz w:val="20"/>
                <w:szCs w:val="20"/>
              </w:rPr>
            </w:pPr>
          </w:p>
        </w:tc>
        <w:tc>
          <w:tcPr>
            <w:tcW w:w="1193" w:type="dxa"/>
            <w:shd w:val="clear" w:color="auto" w:fill="auto"/>
            <w:noWrap/>
            <w:vAlign w:val="bottom"/>
            <w:hideMark/>
          </w:tcPr>
          <w:p w14:paraId="76A7DA20" w14:textId="77777777" w:rsidR="00097D3C" w:rsidRPr="009A6B84" w:rsidRDefault="00097D3C" w:rsidP="00097D3C">
            <w:pPr>
              <w:spacing w:line="240" w:lineRule="auto"/>
              <w:ind w:firstLine="0"/>
              <w:jc w:val="center"/>
              <w:rPr>
                <w:rFonts w:eastAsia="Times New Roman"/>
                <w:sz w:val="20"/>
                <w:szCs w:val="20"/>
              </w:rPr>
            </w:pPr>
          </w:p>
        </w:tc>
        <w:tc>
          <w:tcPr>
            <w:tcW w:w="1282" w:type="dxa"/>
            <w:shd w:val="clear" w:color="auto" w:fill="auto"/>
            <w:noWrap/>
            <w:vAlign w:val="bottom"/>
            <w:hideMark/>
          </w:tcPr>
          <w:p w14:paraId="2067F510"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4.224***</w:t>
            </w:r>
          </w:p>
        </w:tc>
        <w:tc>
          <w:tcPr>
            <w:tcW w:w="1238" w:type="dxa"/>
            <w:shd w:val="clear" w:color="auto" w:fill="auto"/>
            <w:noWrap/>
            <w:vAlign w:val="bottom"/>
            <w:hideMark/>
          </w:tcPr>
          <w:p w14:paraId="4F312EF8"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6.845***</w:t>
            </w:r>
          </w:p>
        </w:tc>
      </w:tr>
      <w:tr w:rsidR="00097D3C" w:rsidRPr="00097D3C" w14:paraId="5A41044B" w14:textId="77777777" w:rsidTr="007634DD">
        <w:trPr>
          <w:trHeight w:val="320"/>
        </w:trPr>
        <w:tc>
          <w:tcPr>
            <w:tcW w:w="4410" w:type="dxa"/>
            <w:shd w:val="clear" w:color="auto" w:fill="auto"/>
            <w:noWrap/>
            <w:vAlign w:val="bottom"/>
            <w:hideMark/>
          </w:tcPr>
          <w:p w14:paraId="36EAFCCD"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p>
        </w:tc>
        <w:tc>
          <w:tcPr>
            <w:tcW w:w="1237" w:type="dxa"/>
            <w:shd w:val="clear" w:color="auto" w:fill="auto"/>
            <w:noWrap/>
            <w:vAlign w:val="bottom"/>
            <w:hideMark/>
          </w:tcPr>
          <w:p w14:paraId="6FF10702" w14:textId="77777777" w:rsidR="00097D3C" w:rsidRPr="009A6B84" w:rsidRDefault="00097D3C" w:rsidP="00097D3C">
            <w:pPr>
              <w:spacing w:line="240" w:lineRule="auto"/>
              <w:ind w:firstLine="0"/>
              <w:jc w:val="left"/>
              <w:rPr>
                <w:rFonts w:eastAsia="Times New Roman"/>
                <w:sz w:val="20"/>
                <w:szCs w:val="20"/>
              </w:rPr>
            </w:pPr>
          </w:p>
        </w:tc>
        <w:tc>
          <w:tcPr>
            <w:tcW w:w="1193" w:type="dxa"/>
            <w:shd w:val="clear" w:color="auto" w:fill="auto"/>
            <w:noWrap/>
            <w:vAlign w:val="bottom"/>
            <w:hideMark/>
          </w:tcPr>
          <w:p w14:paraId="0CA6BCF5" w14:textId="77777777" w:rsidR="00097D3C" w:rsidRPr="009A6B84" w:rsidRDefault="00097D3C" w:rsidP="00097D3C">
            <w:pPr>
              <w:spacing w:line="240" w:lineRule="auto"/>
              <w:ind w:firstLine="0"/>
              <w:jc w:val="center"/>
              <w:rPr>
                <w:rFonts w:eastAsia="Times New Roman"/>
                <w:sz w:val="20"/>
                <w:szCs w:val="20"/>
              </w:rPr>
            </w:pPr>
          </w:p>
        </w:tc>
        <w:tc>
          <w:tcPr>
            <w:tcW w:w="1282" w:type="dxa"/>
            <w:shd w:val="clear" w:color="auto" w:fill="auto"/>
            <w:noWrap/>
            <w:vAlign w:val="bottom"/>
            <w:hideMark/>
          </w:tcPr>
          <w:p w14:paraId="73ABC5C3"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(1.138)</w:t>
            </w:r>
          </w:p>
        </w:tc>
        <w:tc>
          <w:tcPr>
            <w:tcW w:w="1238" w:type="dxa"/>
            <w:shd w:val="clear" w:color="auto" w:fill="auto"/>
            <w:noWrap/>
            <w:vAlign w:val="bottom"/>
            <w:hideMark/>
          </w:tcPr>
          <w:p w14:paraId="1FCEC3FA"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(1.607)</w:t>
            </w:r>
          </w:p>
        </w:tc>
      </w:tr>
      <w:tr w:rsidR="00097D3C" w:rsidRPr="00097D3C" w14:paraId="44F3EEFF" w14:textId="77777777" w:rsidTr="007634DD">
        <w:trPr>
          <w:trHeight w:val="320"/>
        </w:trPr>
        <w:tc>
          <w:tcPr>
            <w:tcW w:w="4410" w:type="dxa"/>
            <w:shd w:val="clear" w:color="auto" w:fill="auto"/>
            <w:noWrap/>
            <w:vAlign w:val="bottom"/>
            <w:hideMark/>
          </w:tcPr>
          <w:p w14:paraId="0B4E8D1D"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Volcker</w:t>
            </w:r>
          </w:p>
        </w:tc>
        <w:tc>
          <w:tcPr>
            <w:tcW w:w="1237" w:type="dxa"/>
            <w:shd w:val="clear" w:color="auto" w:fill="auto"/>
            <w:noWrap/>
            <w:vAlign w:val="bottom"/>
            <w:hideMark/>
          </w:tcPr>
          <w:p w14:paraId="5F88392C" w14:textId="77777777" w:rsidR="00097D3C" w:rsidRPr="009A6B84" w:rsidRDefault="00097D3C" w:rsidP="00097D3C">
            <w:pPr>
              <w:spacing w:line="240" w:lineRule="auto"/>
              <w:ind w:firstLine="0"/>
              <w:jc w:val="left"/>
              <w:rPr>
                <w:rFonts w:eastAsia="Times New Roman"/>
                <w:sz w:val="20"/>
                <w:szCs w:val="20"/>
              </w:rPr>
            </w:pPr>
          </w:p>
        </w:tc>
        <w:tc>
          <w:tcPr>
            <w:tcW w:w="1193" w:type="dxa"/>
            <w:shd w:val="clear" w:color="auto" w:fill="auto"/>
            <w:noWrap/>
            <w:vAlign w:val="bottom"/>
            <w:hideMark/>
          </w:tcPr>
          <w:p w14:paraId="08062A33" w14:textId="77777777" w:rsidR="00097D3C" w:rsidRPr="009A6B84" w:rsidRDefault="00097D3C" w:rsidP="00097D3C">
            <w:pPr>
              <w:spacing w:line="240" w:lineRule="auto"/>
              <w:ind w:firstLine="0"/>
              <w:jc w:val="center"/>
              <w:rPr>
                <w:rFonts w:eastAsia="Times New Roman"/>
                <w:sz w:val="20"/>
                <w:szCs w:val="20"/>
              </w:rPr>
            </w:pPr>
          </w:p>
        </w:tc>
        <w:tc>
          <w:tcPr>
            <w:tcW w:w="1282" w:type="dxa"/>
            <w:shd w:val="clear" w:color="auto" w:fill="auto"/>
            <w:noWrap/>
            <w:vAlign w:val="bottom"/>
            <w:hideMark/>
          </w:tcPr>
          <w:p w14:paraId="6F8D9880"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3.205</w:t>
            </w:r>
          </w:p>
        </w:tc>
        <w:tc>
          <w:tcPr>
            <w:tcW w:w="1238" w:type="dxa"/>
            <w:shd w:val="clear" w:color="auto" w:fill="auto"/>
            <w:noWrap/>
            <w:vAlign w:val="bottom"/>
            <w:hideMark/>
          </w:tcPr>
          <w:p w14:paraId="26206CA0"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9.882***</w:t>
            </w:r>
          </w:p>
        </w:tc>
      </w:tr>
      <w:tr w:rsidR="00097D3C" w:rsidRPr="00097D3C" w14:paraId="484CE347" w14:textId="77777777" w:rsidTr="007634DD">
        <w:trPr>
          <w:trHeight w:val="320"/>
        </w:trPr>
        <w:tc>
          <w:tcPr>
            <w:tcW w:w="4410" w:type="dxa"/>
            <w:shd w:val="clear" w:color="auto" w:fill="auto"/>
            <w:noWrap/>
            <w:vAlign w:val="bottom"/>
            <w:hideMark/>
          </w:tcPr>
          <w:p w14:paraId="5D24814E"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p>
        </w:tc>
        <w:tc>
          <w:tcPr>
            <w:tcW w:w="1237" w:type="dxa"/>
            <w:shd w:val="clear" w:color="auto" w:fill="auto"/>
            <w:noWrap/>
            <w:vAlign w:val="bottom"/>
            <w:hideMark/>
          </w:tcPr>
          <w:p w14:paraId="5C8170EA" w14:textId="77777777" w:rsidR="00097D3C" w:rsidRPr="009A6B84" w:rsidRDefault="00097D3C" w:rsidP="00097D3C">
            <w:pPr>
              <w:spacing w:line="240" w:lineRule="auto"/>
              <w:ind w:firstLine="0"/>
              <w:jc w:val="left"/>
              <w:rPr>
                <w:rFonts w:eastAsia="Times New Roman"/>
                <w:sz w:val="20"/>
                <w:szCs w:val="20"/>
              </w:rPr>
            </w:pPr>
          </w:p>
        </w:tc>
        <w:tc>
          <w:tcPr>
            <w:tcW w:w="1193" w:type="dxa"/>
            <w:shd w:val="clear" w:color="auto" w:fill="auto"/>
            <w:noWrap/>
            <w:vAlign w:val="bottom"/>
            <w:hideMark/>
          </w:tcPr>
          <w:p w14:paraId="6CD5AA34" w14:textId="77777777" w:rsidR="00097D3C" w:rsidRPr="009A6B84" w:rsidRDefault="00097D3C" w:rsidP="00097D3C">
            <w:pPr>
              <w:spacing w:line="240" w:lineRule="auto"/>
              <w:ind w:firstLine="0"/>
              <w:jc w:val="center"/>
              <w:rPr>
                <w:rFonts w:eastAsia="Times New Roman"/>
                <w:sz w:val="20"/>
                <w:szCs w:val="20"/>
              </w:rPr>
            </w:pPr>
          </w:p>
        </w:tc>
        <w:tc>
          <w:tcPr>
            <w:tcW w:w="1282" w:type="dxa"/>
            <w:shd w:val="clear" w:color="auto" w:fill="auto"/>
            <w:noWrap/>
            <w:vAlign w:val="bottom"/>
            <w:hideMark/>
          </w:tcPr>
          <w:p w14:paraId="5BEF8DFE"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(2.476)</w:t>
            </w:r>
          </w:p>
        </w:tc>
        <w:tc>
          <w:tcPr>
            <w:tcW w:w="1238" w:type="dxa"/>
            <w:shd w:val="clear" w:color="auto" w:fill="auto"/>
            <w:noWrap/>
            <w:vAlign w:val="bottom"/>
            <w:hideMark/>
          </w:tcPr>
          <w:p w14:paraId="102721EB"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(3.100)</w:t>
            </w:r>
          </w:p>
        </w:tc>
      </w:tr>
      <w:tr w:rsidR="00097D3C" w:rsidRPr="00097D3C" w14:paraId="43813304" w14:textId="77777777" w:rsidTr="007634DD">
        <w:trPr>
          <w:trHeight w:val="320"/>
        </w:trPr>
        <w:tc>
          <w:tcPr>
            <w:tcW w:w="4410" w:type="dxa"/>
            <w:shd w:val="clear" w:color="auto" w:fill="auto"/>
            <w:noWrap/>
            <w:vAlign w:val="bottom"/>
            <w:hideMark/>
          </w:tcPr>
          <w:p w14:paraId="48B7E964"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Predicted Values of FFR t-1</w:t>
            </w:r>
          </w:p>
        </w:tc>
        <w:tc>
          <w:tcPr>
            <w:tcW w:w="1237" w:type="dxa"/>
            <w:shd w:val="clear" w:color="auto" w:fill="auto"/>
            <w:noWrap/>
            <w:vAlign w:val="bottom"/>
            <w:hideMark/>
          </w:tcPr>
          <w:p w14:paraId="52818FEC" w14:textId="77777777" w:rsidR="00097D3C" w:rsidRPr="009A6B84" w:rsidRDefault="00097D3C" w:rsidP="00097D3C">
            <w:pPr>
              <w:spacing w:line="240" w:lineRule="auto"/>
              <w:ind w:firstLine="0"/>
              <w:jc w:val="left"/>
              <w:rPr>
                <w:rFonts w:eastAsia="Times New Roman"/>
                <w:sz w:val="20"/>
                <w:szCs w:val="20"/>
              </w:rPr>
            </w:pPr>
          </w:p>
        </w:tc>
        <w:tc>
          <w:tcPr>
            <w:tcW w:w="1193" w:type="dxa"/>
            <w:shd w:val="clear" w:color="auto" w:fill="auto"/>
            <w:noWrap/>
            <w:vAlign w:val="bottom"/>
            <w:hideMark/>
          </w:tcPr>
          <w:p w14:paraId="4F7B2E78"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0.587***</w:t>
            </w:r>
          </w:p>
        </w:tc>
        <w:tc>
          <w:tcPr>
            <w:tcW w:w="1282" w:type="dxa"/>
            <w:shd w:val="clear" w:color="auto" w:fill="auto"/>
            <w:noWrap/>
            <w:vAlign w:val="bottom"/>
            <w:hideMark/>
          </w:tcPr>
          <w:p w14:paraId="43B29459"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0.553***</w:t>
            </w:r>
          </w:p>
        </w:tc>
        <w:tc>
          <w:tcPr>
            <w:tcW w:w="1238" w:type="dxa"/>
            <w:shd w:val="clear" w:color="auto" w:fill="auto"/>
            <w:noWrap/>
            <w:vAlign w:val="bottom"/>
            <w:hideMark/>
          </w:tcPr>
          <w:p w14:paraId="34F2039B"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0.432***</w:t>
            </w:r>
          </w:p>
        </w:tc>
      </w:tr>
      <w:tr w:rsidR="00097D3C" w:rsidRPr="00097D3C" w14:paraId="64BFEF3F" w14:textId="77777777" w:rsidTr="007634DD">
        <w:trPr>
          <w:trHeight w:val="320"/>
        </w:trPr>
        <w:tc>
          <w:tcPr>
            <w:tcW w:w="4410" w:type="dxa"/>
            <w:shd w:val="clear" w:color="auto" w:fill="auto"/>
            <w:noWrap/>
            <w:vAlign w:val="bottom"/>
            <w:hideMark/>
          </w:tcPr>
          <w:p w14:paraId="4E8EF4E6"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p>
        </w:tc>
        <w:tc>
          <w:tcPr>
            <w:tcW w:w="1237" w:type="dxa"/>
            <w:shd w:val="clear" w:color="auto" w:fill="auto"/>
            <w:noWrap/>
            <w:vAlign w:val="bottom"/>
            <w:hideMark/>
          </w:tcPr>
          <w:p w14:paraId="5D55EA3A" w14:textId="77777777" w:rsidR="00097D3C" w:rsidRPr="009A6B84" w:rsidRDefault="00097D3C" w:rsidP="00097D3C">
            <w:pPr>
              <w:spacing w:line="240" w:lineRule="auto"/>
              <w:ind w:firstLine="0"/>
              <w:jc w:val="left"/>
              <w:rPr>
                <w:rFonts w:eastAsia="Times New Roman"/>
                <w:sz w:val="20"/>
                <w:szCs w:val="20"/>
              </w:rPr>
            </w:pPr>
          </w:p>
        </w:tc>
        <w:tc>
          <w:tcPr>
            <w:tcW w:w="1193" w:type="dxa"/>
            <w:shd w:val="clear" w:color="auto" w:fill="auto"/>
            <w:noWrap/>
            <w:vAlign w:val="bottom"/>
            <w:hideMark/>
          </w:tcPr>
          <w:p w14:paraId="4407A8A2"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(0.049)</w:t>
            </w:r>
          </w:p>
        </w:tc>
        <w:tc>
          <w:tcPr>
            <w:tcW w:w="1282" w:type="dxa"/>
            <w:shd w:val="clear" w:color="auto" w:fill="auto"/>
            <w:noWrap/>
            <w:vAlign w:val="bottom"/>
            <w:hideMark/>
          </w:tcPr>
          <w:p w14:paraId="74DD2877"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(0.059)</w:t>
            </w:r>
          </w:p>
        </w:tc>
        <w:tc>
          <w:tcPr>
            <w:tcW w:w="1238" w:type="dxa"/>
            <w:shd w:val="clear" w:color="auto" w:fill="auto"/>
            <w:noWrap/>
            <w:vAlign w:val="bottom"/>
            <w:hideMark/>
          </w:tcPr>
          <w:p w14:paraId="6366405C"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(0.079)</w:t>
            </w:r>
          </w:p>
        </w:tc>
      </w:tr>
      <w:tr w:rsidR="00097D3C" w:rsidRPr="00097D3C" w14:paraId="4DFDC280" w14:textId="77777777" w:rsidTr="007634DD">
        <w:trPr>
          <w:trHeight w:val="320"/>
        </w:trPr>
        <w:tc>
          <w:tcPr>
            <w:tcW w:w="4410" w:type="dxa"/>
            <w:shd w:val="clear" w:color="auto" w:fill="auto"/>
            <w:noWrap/>
            <w:vAlign w:val="bottom"/>
            <w:hideMark/>
          </w:tcPr>
          <w:p w14:paraId="324A3E52"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Break (Volcker and beyond=1)</w:t>
            </w:r>
          </w:p>
        </w:tc>
        <w:tc>
          <w:tcPr>
            <w:tcW w:w="1237" w:type="dxa"/>
            <w:shd w:val="clear" w:color="auto" w:fill="auto"/>
            <w:noWrap/>
            <w:vAlign w:val="bottom"/>
            <w:hideMark/>
          </w:tcPr>
          <w:p w14:paraId="6545A1FC"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-1.835</w:t>
            </w:r>
          </w:p>
        </w:tc>
        <w:tc>
          <w:tcPr>
            <w:tcW w:w="1193" w:type="dxa"/>
            <w:shd w:val="clear" w:color="auto" w:fill="auto"/>
            <w:noWrap/>
            <w:vAlign w:val="bottom"/>
            <w:hideMark/>
          </w:tcPr>
          <w:p w14:paraId="3B64245A"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-2.431</w:t>
            </w:r>
          </w:p>
        </w:tc>
        <w:tc>
          <w:tcPr>
            <w:tcW w:w="1282" w:type="dxa"/>
            <w:shd w:val="clear" w:color="auto" w:fill="auto"/>
            <w:noWrap/>
            <w:vAlign w:val="bottom"/>
            <w:hideMark/>
          </w:tcPr>
          <w:p w14:paraId="0BD36871" w14:textId="77777777" w:rsidR="00097D3C" w:rsidRPr="009A6B84" w:rsidRDefault="00097D3C" w:rsidP="00097D3C">
            <w:pPr>
              <w:spacing w:line="240" w:lineRule="auto"/>
              <w:ind w:firstLine="0"/>
              <w:jc w:val="center"/>
              <w:rPr>
                <w:rFonts w:eastAsia="Times New Roman"/>
                <w:sz w:val="20"/>
                <w:szCs w:val="20"/>
              </w:rPr>
            </w:pPr>
          </w:p>
        </w:tc>
        <w:tc>
          <w:tcPr>
            <w:tcW w:w="1238" w:type="dxa"/>
            <w:shd w:val="clear" w:color="auto" w:fill="auto"/>
            <w:noWrap/>
            <w:vAlign w:val="bottom"/>
            <w:hideMark/>
          </w:tcPr>
          <w:p w14:paraId="485A5F10"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 </w:t>
            </w:r>
          </w:p>
        </w:tc>
      </w:tr>
      <w:tr w:rsidR="00097D3C" w:rsidRPr="00097D3C" w14:paraId="365C3A3F" w14:textId="77777777" w:rsidTr="007634DD">
        <w:trPr>
          <w:trHeight w:val="320"/>
        </w:trPr>
        <w:tc>
          <w:tcPr>
            <w:tcW w:w="4410" w:type="dxa"/>
            <w:shd w:val="clear" w:color="auto" w:fill="auto"/>
            <w:noWrap/>
            <w:vAlign w:val="bottom"/>
            <w:hideMark/>
          </w:tcPr>
          <w:p w14:paraId="1B1B929A"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p>
        </w:tc>
        <w:tc>
          <w:tcPr>
            <w:tcW w:w="1237" w:type="dxa"/>
            <w:shd w:val="clear" w:color="auto" w:fill="auto"/>
            <w:noWrap/>
            <w:vAlign w:val="bottom"/>
            <w:hideMark/>
          </w:tcPr>
          <w:p w14:paraId="0BD3D938"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(1.934)</w:t>
            </w:r>
          </w:p>
        </w:tc>
        <w:tc>
          <w:tcPr>
            <w:tcW w:w="1193" w:type="dxa"/>
            <w:shd w:val="clear" w:color="auto" w:fill="auto"/>
            <w:noWrap/>
            <w:vAlign w:val="bottom"/>
            <w:hideMark/>
          </w:tcPr>
          <w:p w14:paraId="5940E075"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(2.078)</w:t>
            </w:r>
          </w:p>
        </w:tc>
        <w:tc>
          <w:tcPr>
            <w:tcW w:w="1282" w:type="dxa"/>
            <w:shd w:val="clear" w:color="auto" w:fill="auto"/>
            <w:noWrap/>
            <w:vAlign w:val="bottom"/>
            <w:hideMark/>
          </w:tcPr>
          <w:p w14:paraId="28EFBB4D" w14:textId="77777777" w:rsidR="00097D3C" w:rsidRPr="009A6B84" w:rsidRDefault="00097D3C" w:rsidP="00097D3C">
            <w:pPr>
              <w:spacing w:line="240" w:lineRule="auto"/>
              <w:ind w:firstLine="0"/>
              <w:jc w:val="center"/>
              <w:rPr>
                <w:rFonts w:eastAsia="Times New Roman"/>
                <w:sz w:val="20"/>
                <w:szCs w:val="20"/>
              </w:rPr>
            </w:pPr>
          </w:p>
        </w:tc>
        <w:tc>
          <w:tcPr>
            <w:tcW w:w="1238" w:type="dxa"/>
            <w:shd w:val="clear" w:color="auto" w:fill="auto"/>
            <w:noWrap/>
            <w:vAlign w:val="bottom"/>
            <w:hideMark/>
          </w:tcPr>
          <w:p w14:paraId="0FF147CD"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 </w:t>
            </w:r>
          </w:p>
        </w:tc>
      </w:tr>
      <w:tr w:rsidR="00097D3C" w:rsidRPr="00097D3C" w14:paraId="3F49DCC6" w14:textId="77777777" w:rsidTr="007634DD">
        <w:trPr>
          <w:trHeight w:val="320"/>
        </w:trPr>
        <w:tc>
          <w:tcPr>
            <w:tcW w:w="4410" w:type="dxa"/>
            <w:shd w:val="clear" w:color="auto" w:fill="auto"/>
            <w:noWrap/>
            <w:vAlign w:val="bottom"/>
            <w:hideMark/>
          </w:tcPr>
          <w:p w14:paraId="0B335443"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Constant</w:t>
            </w:r>
          </w:p>
        </w:tc>
        <w:tc>
          <w:tcPr>
            <w:tcW w:w="1237" w:type="dxa"/>
            <w:shd w:val="clear" w:color="auto" w:fill="auto"/>
            <w:noWrap/>
            <w:vAlign w:val="bottom"/>
            <w:hideMark/>
          </w:tcPr>
          <w:p w14:paraId="4B344BDB"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4.910***</w:t>
            </w:r>
          </w:p>
        </w:tc>
        <w:tc>
          <w:tcPr>
            <w:tcW w:w="1193" w:type="dxa"/>
            <w:shd w:val="clear" w:color="auto" w:fill="auto"/>
            <w:noWrap/>
            <w:vAlign w:val="bottom"/>
            <w:hideMark/>
          </w:tcPr>
          <w:p w14:paraId="304EEF45"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1.901***</w:t>
            </w:r>
          </w:p>
        </w:tc>
        <w:tc>
          <w:tcPr>
            <w:tcW w:w="1282" w:type="dxa"/>
            <w:shd w:val="clear" w:color="auto" w:fill="auto"/>
            <w:noWrap/>
            <w:vAlign w:val="bottom"/>
            <w:hideMark/>
          </w:tcPr>
          <w:p w14:paraId="5F3DF452" w14:textId="77777777" w:rsidR="00097D3C" w:rsidRPr="009A6B84" w:rsidRDefault="00097D3C" w:rsidP="00097D3C">
            <w:pPr>
              <w:spacing w:line="240" w:lineRule="auto"/>
              <w:ind w:firstLine="0"/>
              <w:jc w:val="center"/>
              <w:rPr>
                <w:rFonts w:eastAsia="Times New Roman"/>
                <w:sz w:val="20"/>
                <w:szCs w:val="20"/>
              </w:rPr>
            </w:pPr>
          </w:p>
        </w:tc>
        <w:tc>
          <w:tcPr>
            <w:tcW w:w="1238" w:type="dxa"/>
            <w:shd w:val="clear" w:color="auto" w:fill="auto"/>
            <w:noWrap/>
            <w:vAlign w:val="bottom"/>
            <w:hideMark/>
          </w:tcPr>
          <w:p w14:paraId="66D2C7DA"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 </w:t>
            </w:r>
          </w:p>
        </w:tc>
      </w:tr>
      <w:tr w:rsidR="00097D3C" w:rsidRPr="00097D3C" w14:paraId="4F844362" w14:textId="77777777" w:rsidTr="007634DD">
        <w:trPr>
          <w:trHeight w:val="320"/>
        </w:trPr>
        <w:tc>
          <w:tcPr>
            <w:tcW w:w="4410" w:type="dxa"/>
            <w:shd w:val="clear" w:color="auto" w:fill="auto"/>
            <w:noWrap/>
            <w:vAlign w:val="bottom"/>
            <w:hideMark/>
          </w:tcPr>
          <w:p w14:paraId="0FA764F6"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p>
        </w:tc>
        <w:tc>
          <w:tcPr>
            <w:tcW w:w="1237" w:type="dxa"/>
            <w:shd w:val="clear" w:color="auto" w:fill="auto"/>
            <w:noWrap/>
            <w:vAlign w:val="bottom"/>
            <w:hideMark/>
          </w:tcPr>
          <w:p w14:paraId="23D8DA5B"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(0.503)</w:t>
            </w:r>
          </w:p>
        </w:tc>
        <w:tc>
          <w:tcPr>
            <w:tcW w:w="1193" w:type="dxa"/>
            <w:shd w:val="clear" w:color="auto" w:fill="auto"/>
            <w:noWrap/>
            <w:vAlign w:val="bottom"/>
            <w:hideMark/>
          </w:tcPr>
          <w:p w14:paraId="513D963F"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(0.560)</w:t>
            </w:r>
          </w:p>
        </w:tc>
        <w:tc>
          <w:tcPr>
            <w:tcW w:w="1282" w:type="dxa"/>
            <w:shd w:val="clear" w:color="auto" w:fill="auto"/>
            <w:noWrap/>
            <w:vAlign w:val="bottom"/>
            <w:hideMark/>
          </w:tcPr>
          <w:p w14:paraId="42B9C9C6" w14:textId="77777777" w:rsidR="00097D3C" w:rsidRPr="009A6B84" w:rsidRDefault="00097D3C" w:rsidP="00097D3C">
            <w:pPr>
              <w:spacing w:line="240" w:lineRule="auto"/>
              <w:ind w:firstLine="0"/>
              <w:jc w:val="center"/>
              <w:rPr>
                <w:rFonts w:eastAsia="Times New Roman"/>
                <w:sz w:val="20"/>
                <w:szCs w:val="20"/>
              </w:rPr>
            </w:pPr>
          </w:p>
        </w:tc>
        <w:tc>
          <w:tcPr>
            <w:tcW w:w="1238" w:type="dxa"/>
            <w:shd w:val="clear" w:color="auto" w:fill="auto"/>
            <w:noWrap/>
            <w:vAlign w:val="bottom"/>
            <w:hideMark/>
          </w:tcPr>
          <w:p w14:paraId="6C7E976E"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 </w:t>
            </w:r>
          </w:p>
        </w:tc>
      </w:tr>
      <w:tr w:rsidR="00097D3C" w:rsidRPr="00097D3C" w14:paraId="1263C57B" w14:textId="77777777" w:rsidTr="007634DD">
        <w:trPr>
          <w:trHeight w:val="320"/>
        </w:trPr>
        <w:tc>
          <w:tcPr>
            <w:tcW w:w="4410" w:type="dxa"/>
            <w:shd w:val="clear" w:color="auto" w:fill="auto"/>
            <w:noWrap/>
            <w:vAlign w:val="bottom"/>
            <w:hideMark/>
          </w:tcPr>
          <w:p w14:paraId="2019DA26"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 </w:t>
            </w:r>
          </w:p>
        </w:tc>
        <w:tc>
          <w:tcPr>
            <w:tcW w:w="1237" w:type="dxa"/>
            <w:shd w:val="clear" w:color="auto" w:fill="auto"/>
            <w:noWrap/>
            <w:vAlign w:val="bottom"/>
            <w:hideMark/>
          </w:tcPr>
          <w:p w14:paraId="1AD2AB97" w14:textId="77777777" w:rsidR="00097D3C" w:rsidRPr="009A6B84" w:rsidRDefault="00097D3C" w:rsidP="00097D3C">
            <w:pPr>
              <w:spacing w:line="240" w:lineRule="auto"/>
              <w:ind w:firstLine="0"/>
              <w:jc w:val="left"/>
              <w:rPr>
                <w:rFonts w:eastAsia="Times New Roman"/>
                <w:sz w:val="20"/>
                <w:szCs w:val="20"/>
              </w:rPr>
            </w:pPr>
          </w:p>
        </w:tc>
        <w:tc>
          <w:tcPr>
            <w:tcW w:w="1193" w:type="dxa"/>
            <w:shd w:val="clear" w:color="auto" w:fill="auto"/>
            <w:noWrap/>
            <w:vAlign w:val="bottom"/>
            <w:hideMark/>
          </w:tcPr>
          <w:p w14:paraId="1F0D73C8" w14:textId="77777777" w:rsidR="00097D3C" w:rsidRPr="009A6B84" w:rsidRDefault="00097D3C" w:rsidP="00097D3C">
            <w:pPr>
              <w:spacing w:line="240" w:lineRule="auto"/>
              <w:ind w:firstLine="0"/>
              <w:jc w:val="center"/>
              <w:rPr>
                <w:rFonts w:eastAsia="Times New Roman"/>
                <w:sz w:val="20"/>
                <w:szCs w:val="20"/>
              </w:rPr>
            </w:pPr>
          </w:p>
        </w:tc>
        <w:tc>
          <w:tcPr>
            <w:tcW w:w="1282" w:type="dxa"/>
            <w:shd w:val="clear" w:color="auto" w:fill="auto"/>
            <w:noWrap/>
            <w:vAlign w:val="bottom"/>
            <w:hideMark/>
          </w:tcPr>
          <w:p w14:paraId="621F94C6" w14:textId="77777777" w:rsidR="00097D3C" w:rsidRPr="009A6B84" w:rsidRDefault="00097D3C" w:rsidP="00097D3C">
            <w:pPr>
              <w:spacing w:line="240" w:lineRule="auto"/>
              <w:ind w:firstLine="0"/>
              <w:jc w:val="center"/>
              <w:rPr>
                <w:rFonts w:eastAsia="Times New Roman"/>
                <w:sz w:val="20"/>
                <w:szCs w:val="20"/>
              </w:rPr>
            </w:pPr>
          </w:p>
        </w:tc>
        <w:tc>
          <w:tcPr>
            <w:tcW w:w="1238" w:type="dxa"/>
            <w:shd w:val="clear" w:color="auto" w:fill="auto"/>
            <w:noWrap/>
            <w:vAlign w:val="bottom"/>
            <w:hideMark/>
          </w:tcPr>
          <w:p w14:paraId="709B56F4"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 </w:t>
            </w:r>
          </w:p>
        </w:tc>
      </w:tr>
      <w:tr w:rsidR="00097D3C" w:rsidRPr="00097D3C" w14:paraId="1D846DD9" w14:textId="77777777" w:rsidTr="007634DD">
        <w:trPr>
          <w:trHeight w:val="320"/>
        </w:trPr>
        <w:tc>
          <w:tcPr>
            <w:tcW w:w="4410" w:type="dxa"/>
            <w:shd w:val="clear" w:color="auto" w:fill="auto"/>
            <w:noWrap/>
            <w:vAlign w:val="bottom"/>
            <w:hideMark/>
          </w:tcPr>
          <w:p w14:paraId="189BB675"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Observations</w:t>
            </w:r>
          </w:p>
        </w:tc>
        <w:tc>
          <w:tcPr>
            <w:tcW w:w="1237" w:type="dxa"/>
            <w:shd w:val="clear" w:color="auto" w:fill="auto"/>
            <w:noWrap/>
            <w:vAlign w:val="bottom"/>
            <w:hideMark/>
          </w:tcPr>
          <w:p w14:paraId="28B377E1"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515</w:t>
            </w:r>
          </w:p>
        </w:tc>
        <w:tc>
          <w:tcPr>
            <w:tcW w:w="1193" w:type="dxa"/>
            <w:shd w:val="clear" w:color="auto" w:fill="auto"/>
            <w:noWrap/>
            <w:vAlign w:val="bottom"/>
            <w:hideMark/>
          </w:tcPr>
          <w:p w14:paraId="080AB042"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514</w:t>
            </w:r>
          </w:p>
        </w:tc>
        <w:tc>
          <w:tcPr>
            <w:tcW w:w="1282" w:type="dxa"/>
            <w:shd w:val="clear" w:color="auto" w:fill="auto"/>
            <w:noWrap/>
            <w:vAlign w:val="bottom"/>
            <w:hideMark/>
          </w:tcPr>
          <w:p w14:paraId="1D188C53"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514</w:t>
            </w:r>
          </w:p>
        </w:tc>
        <w:tc>
          <w:tcPr>
            <w:tcW w:w="1238" w:type="dxa"/>
            <w:shd w:val="clear" w:color="auto" w:fill="auto"/>
            <w:noWrap/>
            <w:vAlign w:val="bottom"/>
            <w:hideMark/>
          </w:tcPr>
          <w:p w14:paraId="51CC1668"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514</w:t>
            </w:r>
          </w:p>
        </w:tc>
      </w:tr>
      <w:tr w:rsidR="00097D3C" w:rsidRPr="00097D3C" w14:paraId="2DF29721" w14:textId="77777777" w:rsidTr="007634DD">
        <w:trPr>
          <w:trHeight w:val="320"/>
        </w:trPr>
        <w:tc>
          <w:tcPr>
            <w:tcW w:w="4410" w:type="dxa"/>
            <w:tcBorders>
              <w:bottom w:val="double" w:sz="4" w:space="0" w:color="auto"/>
            </w:tcBorders>
            <w:shd w:val="clear" w:color="auto" w:fill="auto"/>
            <w:noWrap/>
            <w:vAlign w:val="bottom"/>
            <w:hideMark/>
          </w:tcPr>
          <w:p w14:paraId="7C76DE0B" w14:textId="77777777" w:rsidR="00097D3C" w:rsidRPr="009A6B84" w:rsidRDefault="00097D3C" w:rsidP="00097D3C">
            <w:pPr>
              <w:spacing w:line="240" w:lineRule="auto"/>
              <w:ind w:firstLine="0"/>
              <w:jc w:val="left"/>
              <w:rPr>
                <w:rFonts w:eastAsia="Times New Roman"/>
                <w:sz w:val="20"/>
                <w:szCs w:val="20"/>
              </w:rPr>
            </w:pPr>
            <w:r w:rsidRPr="009A6B84">
              <w:rPr>
                <w:rFonts w:eastAsia="Times New Roman"/>
                <w:sz w:val="20"/>
                <w:szCs w:val="20"/>
              </w:rPr>
              <w:t>R-squared</w:t>
            </w:r>
          </w:p>
        </w:tc>
        <w:tc>
          <w:tcPr>
            <w:tcW w:w="1237" w:type="dxa"/>
            <w:tcBorders>
              <w:bottom w:val="double" w:sz="4" w:space="0" w:color="auto"/>
            </w:tcBorders>
            <w:shd w:val="clear" w:color="auto" w:fill="auto"/>
            <w:noWrap/>
            <w:vAlign w:val="bottom"/>
            <w:hideMark/>
          </w:tcPr>
          <w:p w14:paraId="77313F62" w14:textId="77777777" w:rsidR="00097D3C" w:rsidRPr="009A6B84" w:rsidRDefault="00097D3C" w:rsidP="00097D3C">
            <w:pPr>
              <w:spacing w:line="240" w:lineRule="auto"/>
              <w:ind w:firstLine="0"/>
              <w:jc w:val="center"/>
              <w:rPr>
                <w:rFonts w:eastAsia="Times New Roman"/>
                <w:sz w:val="20"/>
                <w:szCs w:val="20"/>
              </w:rPr>
            </w:pPr>
            <w:r w:rsidRPr="009A6B84">
              <w:rPr>
                <w:rFonts w:eastAsia="Times New Roman"/>
                <w:sz w:val="20"/>
                <w:szCs w:val="20"/>
              </w:rPr>
              <w:t>0.680</w:t>
            </w:r>
          </w:p>
        </w:tc>
        <w:tc>
          <w:tcPr>
            <w:tcW w:w="1193" w:type="dxa"/>
            <w:tcBorders>
              <w:bottom w:val="double" w:sz="4" w:space="0" w:color="auto"/>
            </w:tcBorders>
            <w:shd w:val="clear" w:color="auto" w:fill="auto"/>
            <w:noWrap/>
            <w:vAlign w:val="bottom"/>
            <w:hideMark/>
          </w:tcPr>
          <w:p w14:paraId="37598851" w14:textId="77777777" w:rsidR="00097D3C" w:rsidRPr="009A6B84" w:rsidRDefault="00097D3C" w:rsidP="00097D3C">
            <w:pPr>
              <w:spacing w:line="240" w:lineRule="auto"/>
              <w:ind w:firstLine="0"/>
              <w:jc w:val="center"/>
              <w:rPr>
                <w:rFonts w:eastAsia="Times New Roman"/>
                <w:color w:val="000000"/>
                <w:sz w:val="20"/>
                <w:szCs w:val="20"/>
              </w:rPr>
            </w:pPr>
            <w:r w:rsidRPr="009A6B84">
              <w:rPr>
                <w:rFonts w:eastAsia="Times New Roman"/>
                <w:color w:val="000000"/>
                <w:sz w:val="20"/>
                <w:szCs w:val="20"/>
              </w:rPr>
              <w:t>0.913</w:t>
            </w:r>
          </w:p>
        </w:tc>
        <w:tc>
          <w:tcPr>
            <w:tcW w:w="1282" w:type="dxa"/>
            <w:tcBorders>
              <w:bottom w:val="double" w:sz="4" w:space="0" w:color="auto"/>
            </w:tcBorders>
            <w:shd w:val="clear" w:color="auto" w:fill="auto"/>
            <w:noWrap/>
            <w:vAlign w:val="bottom"/>
            <w:hideMark/>
          </w:tcPr>
          <w:p w14:paraId="00CF4CB1" w14:textId="77777777" w:rsidR="00097D3C" w:rsidRPr="009A6B84" w:rsidRDefault="00097D3C" w:rsidP="00097D3C">
            <w:pPr>
              <w:spacing w:line="240" w:lineRule="auto"/>
              <w:ind w:firstLine="0"/>
              <w:jc w:val="center"/>
              <w:rPr>
                <w:rFonts w:eastAsia="Times New Roman"/>
                <w:color w:val="000000"/>
                <w:sz w:val="20"/>
                <w:szCs w:val="20"/>
              </w:rPr>
            </w:pPr>
            <w:r w:rsidRPr="009A6B84">
              <w:rPr>
                <w:rFonts w:eastAsia="Times New Roman"/>
                <w:color w:val="000000"/>
                <w:sz w:val="20"/>
                <w:szCs w:val="20"/>
              </w:rPr>
              <w:t>0.921</w:t>
            </w:r>
          </w:p>
        </w:tc>
        <w:tc>
          <w:tcPr>
            <w:tcW w:w="1238" w:type="dxa"/>
            <w:tcBorders>
              <w:bottom w:val="double" w:sz="4" w:space="0" w:color="auto"/>
            </w:tcBorders>
            <w:shd w:val="clear" w:color="auto" w:fill="auto"/>
            <w:noWrap/>
            <w:vAlign w:val="bottom"/>
            <w:hideMark/>
          </w:tcPr>
          <w:p w14:paraId="2BBDDDCC" w14:textId="77777777" w:rsidR="00097D3C" w:rsidRPr="009A6B84" w:rsidRDefault="00097D3C" w:rsidP="00097D3C">
            <w:pPr>
              <w:spacing w:line="240" w:lineRule="auto"/>
              <w:ind w:firstLine="0"/>
              <w:jc w:val="center"/>
              <w:rPr>
                <w:rFonts w:eastAsia="Times New Roman"/>
                <w:color w:val="000000"/>
                <w:sz w:val="20"/>
                <w:szCs w:val="20"/>
              </w:rPr>
            </w:pPr>
            <w:r w:rsidRPr="009A6B84">
              <w:rPr>
                <w:rFonts w:eastAsia="Times New Roman"/>
                <w:color w:val="000000"/>
                <w:sz w:val="20"/>
                <w:szCs w:val="20"/>
              </w:rPr>
              <w:t>0.889</w:t>
            </w:r>
          </w:p>
        </w:tc>
      </w:tr>
    </w:tbl>
    <w:p w14:paraId="565129F4" w14:textId="03C3126F" w:rsidR="004E1C31" w:rsidRPr="002476C5" w:rsidRDefault="001F26BD" w:rsidP="004E1C31">
      <w:pPr>
        <w:spacing w:line="240" w:lineRule="auto"/>
        <w:ind w:firstLine="0"/>
        <w:contextualSpacing/>
        <w:jc w:val="left"/>
        <w:rPr>
          <w:rFonts w:eastAsia="DengXian"/>
          <w:sz w:val="20"/>
          <w:szCs w:val="20"/>
          <w:lang w:eastAsia="zh-CN"/>
        </w:rPr>
      </w:pPr>
      <w:r w:rsidRPr="00F93A72">
        <w:rPr>
          <w:rFonts w:eastAsia="DengXian"/>
          <w:sz w:val="20"/>
          <w:szCs w:val="20"/>
          <w:lang w:eastAsia="zh-CN"/>
        </w:rPr>
        <w:t>Robust standard errors in parentheses</w:t>
      </w:r>
    </w:p>
    <w:p w14:paraId="7210E2B2" w14:textId="1476BC16" w:rsidR="00097D3C" w:rsidRPr="004E1C31" w:rsidRDefault="004E1C31" w:rsidP="00024E1E">
      <w:pPr>
        <w:spacing w:line="240" w:lineRule="auto"/>
        <w:ind w:firstLine="0"/>
        <w:contextualSpacing/>
        <w:jc w:val="left"/>
        <w:rPr>
          <w:rFonts w:eastAsia="DengXian"/>
          <w:sz w:val="20"/>
          <w:lang w:eastAsia="zh-CN"/>
        </w:rPr>
      </w:pPr>
      <w:r w:rsidRPr="00024E1E">
        <w:rPr>
          <w:rFonts w:eastAsia="DengXian"/>
          <w:sz w:val="20"/>
          <w:lang w:eastAsia="zh-CN"/>
        </w:rPr>
        <w:t>*** p&lt;0.01, ** p&lt;0.05, * p&lt;0.1</w:t>
      </w:r>
    </w:p>
    <w:p w14:paraId="2DD061E0" w14:textId="77777777" w:rsidR="004E1C31" w:rsidRDefault="004E1C31" w:rsidP="00024E1E">
      <w:pPr>
        <w:spacing w:line="240" w:lineRule="auto"/>
        <w:ind w:firstLine="0"/>
        <w:contextualSpacing/>
        <w:jc w:val="left"/>
        <w:rPr>
          <w:rFonts w:eastAsia="DengXian"/>
          <w:i/>
          <w:sz w:val="20"/>
          <w:lang w:eastAsia="zh-CN"/>
        </w:rPr>
      </w:pPr>
    </w:p>
    <w:p w14:paraId="165C804A" w14:textId="4AB204C2" w:rsidR="00097D3C" w:rsidRPr="00024E1E" w:rsidRDefault="009D469E" w:rsidP="00097D3C">
      <w:pPr>
        <w:spacing w:line="240" w:lineRule="auto"/>
        <w:ind w:firstLine="0"/>
        <w:contextualSpacing/>
        <w:jc w:val="left"/>
        <w:rPr>
          <w:rFonts w:eastAsia="DengXian"/>
          <w:sz w:val="20"/>
          <w:lang w:eastAsia="zh-CN"/>
        </w:rPr>
      </w:pPr>
      <w:r w:rsidRPr="00024E1E">
        <w:rPr>
          <w:rFonts w:eastAsia="DengXian"/>
          <w:i/>
          <w:sz w:val="20"/>
          <w:lang w:eastAsia="zh-CN"/>
        </w:rPr>
        <w:t>Sources</w:t>
      </w:r>
      <w:r w:rsidRPr="00024E1E">
        <w:rPr>
          <w:rFonts w:eastAsia="DengXian"/>
          <w:sz w:val="20"/>
          <w:lang w:eastAsia="zh-CN"/>
        </w:rPr>
        <w:t>: ALFRED; FOMC Greenbooks; Authors’ Dataset.</w:t>
      </w:r>
    </w:p>
    <w:p w14:paraId="02CBCD3A" w14:textId="602569E6" w:rsidR="009D469E" w:rsidRPr="00024E1E" w:rsidRDefault="009D469E" w:rsidP="00024E1E">
      <w:pPr>
        <w:spacing w:line="240" w:lineRule="auto"/>
        <w:ind w:firstLine="0"/>
        <w:contextualSpacing/>
        <w:jc w:val="left"/>
        <w:rPr>
          <w:rFonts w:eastAsia="DengXian"/>
          <w:sz w:val="20"/>
          <w:lang w:eastAsia="zh-CN"/>
        </w:rPr>
      </w:pPr>
    </w:p>
    <w:p w14:paraId="699F1723" w14:textId="62F2E641" w:rsidR="008D1985" w:rsidRPr="009D469E" w:rsidRDefault="008D1985" w:rsidP="009F6635">
      <w:pPr>
        <w:spacing w:line="240" w:lineRule="auto"/>
        <w:ind w:firstLine="0"/>
        <w:contextualSpacing/>
        <w:jc w:val="left"/>
        <w:rPr>
          <w:color w:val="000000" w:themeColor="text1"/>
        </w:rPr>
      </w:pPr>
    </w:p>
    <w:sectPr w:rsidR="008D1985" w:rsidRPr="009D469E" w:rsidSect="001369FF">
      <w:footerReference w:type="even" r:id="rId9"/>
      <w:footerReference w:type="default" r:id="rId10"/>
      <w:endnotePr>
        <w:numFmt w:val="decimal"/>
        <w:numRestart w:val="eachSect"/>
      </w:endnotePr>
      <w:type w:val="continuous"/>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A52E3" w14:textId="77777777" w:rsidR="005140FA" w:rsidRDefault="005140FA" w:rsidP="00E06C61">
      <w:r>
        <w:separator/>
      </w:r>
    </w:p>
  </w:endnote>
  <w:endnote w:type="continuationSeparator" w:id="0">
    <w:p w14:paraId="6A25FE2A" w14:textId="77777777" w:rsidR="005140FA" w:rsidRDefault="005140FA" w:rsidP="00E0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Std">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Math">
    <w:panose1 w:val="02040503050406030204"/>
    <w:charset w:val="00"/>
    <w:family w:val="auto"/>
    <w:pitch w:val="variable"/>
    <w:sig w:usb0="E00002FF" w:usb1="420024FF" w:usb2="00000000"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3930B" w14:textId="77777777" w:rsidR="000364A1" w:rsidRDefault="000364A1" w:rsidP="00E101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BCFD8A" w14:textId="77777777" w:rsidR="000364A1" w:rsidRDefault="000364A1" w:rsidP="00E101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562951"/>
      <w:docPartObj>
        <w:docPartGallery w:val="Page Numbers (Bottom of Page)"/>
        <w:docPartUnique/>
      </w:docPartObj>
    </w:sdtPr>
    <w:sdtEndPr>
      <w:rPr>
        <w:rFonts w:ascii="Times New Roman" w:hAnsi="Times New Roman" w:cs="Times New Roman"/>
        <w:noProof/>
      </w:rPr>
    </w:sdtEndPr>
    <w:sdtContent>
      <w:p w14:paraId="0C76AF27" w14:textId="6CC17387" w:rsidR="000364A1" w:rsidRPr="00EC3DEF" w:rsidRDefault="000364A1" w:rsidP="00644E81">
        <w:pPr>
          <w:pStyle w:val="Footer"/>
          <w:jc w:val="center"/>
          <w:rPr>
            <w:rFonts w:ascii="Times New Roman" w:hAnsi="Times New Roman" w:cs="Times New Roman"/>
          </w:rPr>
        </w:pPr>
        <w:r w:rsidRPr="00EC3DEF">
          <w:rPr>
            <w:rFonts w:ascii="Times New Roman" w:hAnsi="Times New Roman" w:cs="Times New Roman"/>
          </w:rPr>
          <w:fldChar w:fldCharType="begin"/>
        </w:r>
        <w:r w:rsidRPr="00EC3DEF">
          <w:rPr>
            <w:rFonts w:ascii="Times New Roman" w:hAnsi="Times New Roman" w:cs="Times New Roman"/>
          </w:rPr>
          <w:instrText xml:space="preserve"> PAGE   \* MERGEFORMAT </w:instrText>
        </w:r>
        <w:r w:rsidRPr="00EC3DEF">
          <w:rPr>
            <w:rFonts w:ascii="Times New Roman" w:hAnsi="Times New Roman" w:cs="Times New Roman"/>
          </w:rPr>
          <w:fldChar w:fldCharType="separate"/>
        </w:r>
        <w:r w:rsidR="00A64301">
          <w:rPr>
            <w:rFonts w:ascii="Times New Roman" w:hAnsi="Times New Roman" w:cs="Times New Roman"/>
            <w:noProof/>
          </w:rPr>
          <w:t>1</w:t>
        </w:r>
        <w:r w:rsidRPr="00EC3DEF">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97158" w14:textId="77777777" w:rsidR="005140FA" w:rsidRDefault="005140FA" w:rsidP="001369FF">
      <w:pPr>
        <w:spacing w:line="240" w:lineRule="auto"/>
        <w:ind w:firstLine="0"/>
      </w:pPr>
      <w:r>
        <w:separator/>
      </w:r>
    </w:p>
  </w:footnote>
  <w:footnote w:type="continuationSeparator" w:id="0">
    <w:p w14:paraId="16FE5594" w14:textId="77777777" w:rsidR="005140FA" w:rsidRDefault="005140FA" w:rsidP="00E06C61">
      <w:r>
        <w:continuationSeparator/>
      </w:r>
    </w:p>
  </w:footnote>
  <w:footnote w:id="1">
    <w:p w14:paraId="5794EF6B" w14:textId="19AD133A" w:rsidR="007E584B" w:rsidRPr="00D65680" w:rsidRDefault="007E584B" w:rsidP="00A50787">
      <w:pPr>
        <w:pStyle w:val="FootnoteText"/>
        <w:spacing w:line="240" w:lineRule="auto"/>
        <w:ind w:firstLine="0"/>
        <w:rPr>
          <w:rFonts w:ascii="Times New Roman" w:hAnsi="Times New Roman" w:cs="Times New Roman"/>
        </w:rPr>
      </w:pPr>
      <w:r w:rsidRPr="00D65680">
        <w:rPr>
          <w:rStyle w:val="FootnoteReference"/>
          <w:rFonts w:ascii="Times New Roman" w:hAnsi="Times New Roman" w:cs="Times New Roman"/>
          <w:vertAlign w:val="baseline"/>
        </w:rPr>
        <w:sym w:font="Symbol" w:char="F02A"/>
      </w:r>
      <w:r w:rsidRPr="00D65680">
        <w:rPr>
          <w:rFonts w:ascii="Times New Roman" w:hAnsi="Times New Roman" w:cs="Times New Roman"/>
        </w:rPr>
        <w:t xml:space="preserve"> The authors would like to thank </w:t>
      </w:r>
      <w:r w:rsidR="00A50787">
        <w:rPr>
          <w:rFonts w:ascii="Times New Roman" w:hAnsi="Times New Roman" w:cs="Times New Roman"/>
        </w:rPr>
        <w:t xml:space="preserve">Swarthmore College for financial support and Steve O'Connell and </w:t>
      </w:r>
      <w:r w:rsidRPr="00D65680">
        <w:rPr>
          <w:rFonts w:ascii="Times New Roman" w:hAnsi="Times New Roman" w:cs="Times New Roman"/>
        </w:rPr>
        <w:t xml:space="preserve">the anonymous referees </w:t>
      </w:r>
      <w:r w:rsidR="00A50787">
        <w:rPr>
          <w:rFonts w:ascii="Times New Roman" w:hAnsi="Times New Roman" w:cs="Times New Roman"/>
        </w:rPr>
        <w:t>for</w:t>
      </w:r>
      <w:r w:rsidRPr="00D65680">
        <w:rPr>
          <w:rFonts w:ascii="Times New Roman" w:hAnsi="Times New Roman" w:cs="Times New Roman"/>
        </w:rPr>
        <w:t xml:space="preserve"> comments </w:t>
      </w:r>
      <w:r w:rsidR="00A50787">
        <w:rPr>
          <w:rFonts w:ascii="Times New Roman" w:hAnsi="Times New Roman" w:cs="Times New Roman"/>
        </w:rPr>
        <w:t xml:space="preserve">that </w:t>
      </w:r>
      <w:r w:rsidRPr="00D65680">
        <w:rPr>
          <w:rFonts w:ascii="Times New Roman" w:hAnsi="Times New Roman" w:cs="Times New Roman"/>
        </w:rPr>
        <w:t>improved the paper.  Ayse Kaya, Associate Professor of Political Science, Ste</w:t>
      </w:r>
      <w:r w:rsidR="005A1975" w:rsidRPr="00D65680">
        <w:rPr>
          <w:rFonts w:ascii="Times New Roman" w:hAnsi="Times New Roman" w:cs="Times New Roman"/>
        </w:rPr>
        <w:t>phen</w:t>
      </w:r>
      <w:r w:rsidRPr="00D65680">
        <w:rPr>
          <w:rFonts w:ascii="Times New Roman" w:hAnsi="Times New Roman" w:cs="Times New Roman"/>
        </w:rPr>
        <w:t xml:space="preserve"> Golub, Professor of Economics, Mark Kuperberg, Professor of Economics, all of Swarthmore College, and Feng Lin, Research Professional, University of Chicago Booth School of Business. </w:t>
      </w:r>
    </w:p>
  </w:footnote>
  <w:footnote w:id="2">
    <w:p w14:paraId="6F2BD3E9" w14:textId="38D4A78D" w:rsidR="000364A1" w:rsidRDefault="000364A1" w:rsidP="00B71927">
      <w:pPr>
        <w:spacing w:line="240" w:lineRule="auto"/>
        <w:ind w:firstLine="0"/>
      </w:pPr>
      <w:r>
        <w:rPr>
          <w:rStyle w:val="FootnoteReference"/>
        </w:rPr>
        <w:footnoteRef/>
      </w:r>
      <w:r>
        <w:t xml:space="preserve"> N</w:t>
      </w:r>
      <w:r w:rsidRPr="009D469E">
        <w:t>arrative analyses</w:t>
      </w:r>
      <w:r>
        <w:t>, for example,</w:t>
      </w:r>
      <w:r w:rsidRPr="009D469E">
        <w:t xml:space="preserve"> provide insights into the thinking of the Fed over the 20</w:t>
      </w:r>
      <w:r w:rsidRPr="009D469E">
        <w:rPr>
          <w:vertAlign w:val="superscript"/>
        </w:rPr>
        <w:t>th</w:t>
      </w:r>
      <w:r w:rsidRPr="009D469E">
        <w:t xml:space="preserve"> century</w:t>
      </w:r>
      <w:r>
        <w:t>, but do not systematically illuminate the shift in FOMC discussions on inflation versus unemployment</w:t>
      </w:r>
      <w:r w:rsidRPr="009D469E">
        <w:t xml:space="preserve"> (Friedman and Schwartz 1963; DeLong 1997</w:t>
      </w:r>
      <w:r>
        <w:t xml:space="preserve">; Romer and Romer 2004; </w:t>
      </w:r>
      <w:r w:rsidRPr="009D469E">
        <w:t>Melt</w:t>
      </w:r>
      <w:r>
        <w:t>z</w:t>
      </w:r>
      <w:r w:rsidRPr="009D469E">
        <w:t>e</w:t>
      </w:r>
      <w:r>
        <w:t>r 2009</w:t>
      </w:r>
      <w:r w:rsidRPr="009D469E">
        <w:t xml:space="preserve">). </w:t>
      </w:r>
      <w:r>
        <w:t xml:space="preserve">Clarida et al (1999) and </w:t>
      </w:r>
      <w:r w:rsidRPr="009D469E">
        <w:t>Orphanides (2004)</w:t>
      </w:r>
      <w:r>
        <w:t xml:space="preserve"> examine the changes in the Fed’s reaction functions in the pre- and post-Volcker eras. Chappell et al (2005) analyze</w:t>
      </w:r>
      <w:r w:rsidRPr="009D469E">
        <w:t xml:space="preserve"> </w:t>
      </w:r>
      <w:r>
        <w:t xml:space="preserve">the Burns and Greenspan eras with a focus on </w:t>
      </w:r>
      <w:r w:rsidRPr="009D469E">
        <w:t>the voting behavior of individual FOMC members. Meade and Thornton (201</w:t>
      </w:r>
      <w:r>
        <w:t>2</w:t>
      </w:r>
      <w:r w:rsidRPr="009D469E">
        <w:t>) undertake a word count analysis of the</w:t>
      </w:r>
      <w:r>
        <w:t xml:space="preserve"> 1979-2003 </w:t>
      </w:r>
      <w:r w:rsidRPr="009D469E">
        <w:t>FOMC transcripts</w:t>
      </w:r>
      <w:r>
        <w:t xml:space="preserve"> to examine</w:t>
      </w:r>
      <w:r w:rsidRPr="009D469E">
        <w:t xml:space="preserve"> whether the FOMC members based their inflation discussions and forecasts on the output gap. Schonhardt-Bailey (2013) </w:t>
      </w:r>
      <w:r>
        <w:t>studies</w:t>
      </w:r>
      <w:r w:rsidRPr="009D469E">
        <w:t xml:space="preserve"> </w:t>
      </w:r>
      <w:r>
        <w:t>FOMC deliberations through select documents</w:t>
      </w:r>
      <w:r w:rsidRPr="009D469E">
        <w:t xml:space="preserve"> from the Miller, Volcker, and Greenspan eras.</w:t>
      </w:r>
    </w:p>
  </w:footnote>
  <w:footnote w:id="3">
    <w:p w14:paraId="3BCDFA09" w14:textId="77777777" w:rsidR="000364A1" w:rsidRPr="0044482C" w:rsidRDefault="000364A1" w:rsidP="00A21F76">
      <w:pPr>
        <w:pStyle w:val="FootnoteText"/>
        <w:spacing w:line="240" w:lineRule="auto"/>
        <w:ind w:firstLine="0"/>
        <w:rPr>
          <w:rFonts w:ascii="Times New Roman" w:hAnsi="Times New Roman" w:cs="Times New Roman"/>
        </w:rPr>
      </w:pPr>
      <w:r w:rsidRPr="0044482C">
        <w:rPr>
          <w:rStyle w:val="FootnoteReference"/>
          <w:rFonts w:ascii="Times New Roman" w:hAnsi="Times New Roman" w:cs="Times New Roman"/>
        </w:rPr>
        <w:footnoteRef/>
      </w:r>
      <w:r w:rsidRPr="0044482C">
        <w:rPr>
          <w:rFonts w:ascii="Times New Roman" w:hAnsi="Times New Roman" w:cs="Times New Roman"/>
        </w:rPr>
        <w:t xml:space="preserve"> Since FOMC transcripts are released with a five-year delay, we analyzed transcripts that were available at the time we began the study. </w:t>
      </w:r>
    </w:p>
  </w:footnote>
  <w:footnote w:id="4">
    <w:p w14:paraId="26C42F46" w14:textId="6CD0913C" w:rsidR="000364A1" w:rsidRPr="0044482C" w:rsidRDefault="000364A1" w:rsidP="001369FF">
      <w:pPr>
        <w:pStyle w:val="FootnoteText"/>
        <w:spacing w:line="240" w:lineRule="auto"/>
        <w:ind w:firstLine="0"/>
        <w:rPr>
          <w:rFonts w:ascii="Times New Roman" w:hAnsi="Times New Roman" w:cs="Times New Roman"/>
        </w:rPr>
      </w:pPr>
      <w:r w:rsidRPr="0044482C">
        <w:rPr>
          <w:rStyle w:val="FootnoteReference"/>
          <w:rFonts w:ascii="Times New Roman" w:hAnsi="Times New Roman" w:cs="Times New Roman"/>
        </w:rPr>
        <w:footnoteRef/>
      </w:r>
      <w:r w:rsidRPr="0044482C">
        <w:rPr>
          <w:rFonts w:ascii="Times New Roman" w:hAnsi="Times New Roman" w:cs="Times New Roman"/>
        </w:rPr>
        <w:t xml:space="preserve"> We discuss later </w:t>
      </w:r>
      <w:r>
        <w:rPr>
          <w:rFonts w:ascii="Times New Roman" w:hAnsi="Times New Roman" w:cs="Times New Roman"/>
        </w:rPr>
        <w:t>the choice for this</w:t>
      </w:r>
      <w:r w:rsidRPr="0044482C">
        <w:rPr>
          <w:rFonts w:ascii="Times New Roman" w:hAnsi="Times New Roman" w:cs="Times New Roman"/>
        </w:rPr>
        <w:t xml:space="preserve"> dependent variable</w:t>
      </w:r>
      <w:r>
        <w:rPr>
          <w:rFonts w:ascii="Times New Roman" w:hAnsi="Times New Roman" w:cs="Times New Roman"/>
        </w:rPr>
        <w:t>;</w:t>
      </w:r>
      <w:r w:rsidRPr="0044482C">
        <w:rPr>
          <w:rFonts w:ascii="Times New Roman" w:hAnsi="Times New Roman" w:cs="Times New Roman"/>
        </w:rPr>
        <w:t xml:space="preserve"> our results are robust to measuring discussions of inflation and discussions of unemployment in slightly different ways.</w:t>
      </w:r>
    </w:p>
  </w:footnote>
  <w:footnote w:id="5">
    <w:p w14:paraId="3D173D80" w14:textId="13897AB3" w:rsidR="000364A1" w:rsidRPr="0044482C" w:rsidRDefault="000364A1" w:rsidP="001369FF">
      <w:pPr>
        <w:spacing w:line="240" w:lineRule="auto"/>
        <w:ind w:firstLine="0"/>
        <w:rPr>
          <w:rFonts w:eastAsia="Times New Roman"/>
        </w:rPr>
      </w:pPr>
      <w:r w:rsidRPr="0044482C">
        <w:rPr>
          <w:rStyle w:val="FootnoteReference"/>
        </w:rPr>
        <w:footnoteRef/>
      </w:r>
      <w:r w:rsidRPr="0044482C">
        <w:t xml:space="preserve"> From 1960-1967, </w:t>
      </w:r>
      <w:r>
        <w:t>we use</w:t>
      </w:r>
      <w:r w:rsidRPr="0044482C">
        <w:t xml:space="preserve"> Historical Minutes and, from </w:t>
      </w:r>
      <w:r w:rsidRPr="0044482C">
        <w:rPr>
          <w:rFonts w:eastAsia="Times New Roman"/>
        </w:rPr>
        <w:t>June 1967 to March 1976, the Memorandum of Discussion, which “served as the most detailed account of the discussion at each FOMC meetin</w:t>
      </w:r>
      <w:r>
        <w:rPr>
          <w:rFonts w:eastAsia="Times New Roman"/>
        </w:rPr>
        <w:t>g</w:t>
      </w:r>
      <w:r w:rsidRPr="0044482C">
        <w:rPr>
          <w:rFonts w:eastAsia="Times New Roman"/>
        </w:rPr>
        <w:t>”</w:t>
      </w:r>
      <w:r>
        <w:rPr>
          <w:rFonts w:eastAsia="Times New Roman"/>
        </w:rPr>
        <w:t xml:space="preserve"> and hence constitute “extensive minutes”</w:t>
      </w:r>
      <w:r w:rsidRPr="0044482C">
        <w:rPr>
          <w:rFonts w:eastAsia="Times New Roman"/>
        </w:rPr>
        <w:t xml:space="preserve"> (https://www.federalreserve.gov). In 1993, in addition to the decision to release the contemporary FOMC transcripts, the Fed made the decision to construct and release edited transcripts dating back to 1976. </w:t>
      </w:r>
      <w:r>
        <w:rPr>
          <w:rFonts w:eastAsia="Times New Roman"/>
        </w:rPr>
        <w:t>Thus</w:t>
      </w:r>
      <w:r w:rsidRPr="0044482C">
        <w:rPr>
          <w:rFonts w:eastAsia="Times New Roman"/>
        </w:rPr>
        <w:t xml:space="preserve">, while perhaps not as extensive as current-day transcripts, we have access to detailed </w:t>
      </w:r>
      <w:r>
        <w:rPr>
          <w:rFonts w:eastAsia="Times New Roman"/>
        </w:rPr>
        <w:t xml:space="preserve">historical </w:t>
      </w:r>
      <w:r w:rsidRPr="0044482C">
        <w:rPr>
          <w:rFonts w:eastAsia="Times New Roman"/>
        </w:rPr>
        <w:t xml:space="preserve">discussions of the FOMC. </w:t>
      </w:r>
      <w:r>
        <w:rPr>
          <w:rFonts w:eastAsia="Times New Roman"/>
        </w:rPr>
        <w:t>Regardless, t</w:t>
      </w:r>
      <w:r w:rsidRPr="0044482C">
        <w:rPr>
          <w:rFonts w:eastAsia="Times New Roman"/>
        </w:rPr>
        <w:t>he length of minutes is not an issue, given our dependent variable adjusts for length. Furthermore, the regime change in FOMC discussions does not coincide with any of the changes in transcript type and release.</w:t>
      </w:r>
    </w:p>
  </w:footnote>
  <w:footnote w:id="6">
    <w:p w14:paraId="3F9F3D41" w14:textId="77777777" w:rsidR="000364A1" w:rsidRPr="0044482C" w:rsidRDefault="000364A1" w:rsidP="001369FF">
      <w:pPr>
        <w:pStyle w:val="FootnoteText"/>
        <w:spacing w:line="240" w:lineRule="auto"/>
        <w:ind w:firstLine="0"/>
      </w:pPr>
      <w:r w:rsidRPr="0044482C">
        <w:rPr>
          <w:rStyle w:val="FootnoteReference"/>
          <w:rFonts w:ascii="Times New Roman" w:hAnsi="Times New Roman" w:cs="Times New Roman"/>
          <w:color w:val="000000" w:themeColor="text1"/>
        </w:rPr>
        <w:footnoteRef/>
      </w:r>
      <w:r w:rsidRPr="0044482C">
        <w:rPr>
          <w:rFonts w:ascii="Times New Roman" w:hAnsi="Times New Roman" w:cs="Times New Roman"/>
          <w:color w:val="000000" w:themeColor="text1"/>
        </w:rPr>
        <w:t xml:space="preserve"> The analysis starts with the first meeting for which there is real-time data (see below).</w:t>
      </w:r>
      <w:r w:rsidRPr="0044482C">
        <w:rPr>
          <w:color w:val="000000" w:themeColor="text1"/>
        </w:rPr>
        <w:t xml:space="preserve"> </w:t>
      </w:r>
    </w:p>
  </w:footnote>
  <w:footnote w:id="7">
    <w:p w14:paraId="12B83348" w14:textId="38869149" w:rsidR="000364A1" w:rsidRPr="0044482C" w:rsidRDefault="000364A1" w:rsidP="001369FF">
      <w:pPr>
        <w:spacing w:line="240" w:lineRule="auto"/>
        <w:ind w:firstLine="0"/>
      </w:pPr>
      <w:r w:rsidRPr="00E94E4E">
        <w:rPr>
          <w:rStyle w:val="FootnoteReference"/>
        </w:rPr>
        <w:footnoteRef/>
      </w:r>
      <w:r w:rsidRPr="009B2FE1">
        <w:t xml:space="preserve"> We use CPI because, of all measures of inflation, it goes farthest back in time (year 1960), and the FOMC focused on CPI during the majority of the time under examination (until year 2000).</w:t>
      </w:r>
      <w:r w:rsidRPr="0044482C">
        <w:t xml:space="preserve"> </w:t>
      </w:r>
    </w:p>
  </w:footnote>
  <w:footnote w:id="8">
    <w:p w14:paraId="25C23348" w14:textId="512C9E7E" w:rsidR="000364A1" w:rsidRPr="0044482C" w:rsidRDefault="000364A1" w:rsidP="001369FF">
      <w:pPr>
        <w:pStyle w:val="FootnoteText"/>
        <w:spacing w:line="240" w:lineRule="auto"/>
        <w:ind w:firstLine="0"/>
        <w:rPr>
          <w:rFonts w:ascii="Times New Roman" w:hAnsi="Times New Roman" w:cs="Times New Roman"/>
        </w:rPr>
      </w:pPr>
      <w:r w:rsidRPr="0044482C">
        <w:rPr>
          <w:rStyle w:val="FootnoteReference"/>
          <w:rFonts w:ascii="Times New Roman" w:hAnsi="Times New Roman" w:cs="Times New Roman"/>
        </w:rPr>
        <w:footnoteRef/>
      </w:r>
      <w:r w:rsidRPr="0044482C">
        <w:rPr>
          <w:rFonts w:ascii="Times New Roman" w:hAnsi="Times New Roman" w:cs="Times New Roman"/>
        </w:rPr>
        <w:t xml:space="preserve"> OLS can be problematic when the dependent variable ranges from 0 to 1 </w:t>
      </w:r>
      <w:r>
        <w:rPr>
          <w:rFonts w:ascii="Times New Roman" w:hAnsi="Times New Roman" w:cs="Times New Roman"/>
        </w:rPr>
        <w:t>because the regression’s predicted values can be less than 0 or greater than 1 (which is impossible). In this case, however, all our predicted values were between 0 and 1. We also ran the regressions with</w:t>
      </w:r>
      <w:r w:rsidRPr="0044482C">
        <w:rPr>
          <w:rFonts w:ascii="Times New Roman" w:hAnsi="Times New Roman" w:cs="Times New Roman"/>
        </w:rPr>
        <w:t xml:space="preserve"> </w:t>
      </w:r>
      <w:r>
        <w:rPr>
          <w:rFonts w:ascii="Times New Roman" w:hAnsi="Times New Roman" w:cs="Times New Roman"/>
        </w:rPr>
        <w:t xml:space="preserve">a generalized linear model using the logit transformation and the results did not change appreciably. </w:t>
      </w:r>
    </w:p>
  </w:footnote>
  <w:footnote w:id="9">
    <w:p w14:paraId="26360B61" w14:textId="06284E88" w:rsidR="000364A1" w:rsidRPr="0044482C" w:rsidRDefault="000364A1" w:rsidP="001369FF">
      <w:pPr>
        <w:pStyle w:val="FootnoteText"/>
        <w:spacing w:line="240" w:lineRule="auto"/>
        <w:ind w:firstLine="0"/>
        <w:rPr>
          <w:rFonts w:ascii="Times New Roman" w:hAnsi="Times New Roman" w:cs="Times New Roman"/>
        </w:rPr>
      </w:pPr>
      <w:r w:rsidRPr="0044482C">
        <w:rPr>
          <w:rStyle w:val="FootnoteReference"/>
          <w:rFonts w:ascii="Times New Roman" w:hAnsi="Times New Roman" w:cs="Times New Roman"/>
        </w:rPr>
        <w:footnoteRef/>
      </w:r>
      <w:r w:rsidRPr="0044482C">
        <w:rPr>
          <w:rFonts w:ascii="Times New Roman" w:hAnsi="Times New Roman" w:cs="Times New Roman"/>
        </w:rPr>
        <w:t xml:space="preserve"> </w:t>
      </w:r>
      <w:r>
        <w:rPr>
          <w:rFonts w:ascii="Times New Roman" w:hAnsi="Times New Roman" w:cs="Times New Roman"/>
        </w:rPr>
        <w:t xml:space="preserve">Both the </w:t>
      </w:r>
      <w:r w:rsidRPr="0044482C">
        <w:rPr>
          <w:rFonts w:ascii="Times New Roman" w:hAnsi="Times New Roman" w:cs="Times New Roman"/>
        </w:rPr>
        <w:t>Augmented Dickey-Fuller and the Phillips-Perron</w:t>
      </w:r>
      <w:r>
        <w:rPr>
          <w:rFonts w:ascii="Times New Roman" w:hAnsi="Times New Roman" w:cs="Times New Roman"/>
        </w:rPr>
        <w:t xml:space="preserve"> tests</w:t>
      </w:r>
      <w:r w:rsidRPr="0044482C">
        <w:rPr>
          <w:rFonts w:ascii="Times New Roman" w:hAnsi="Times New Roman" w:cs="Times New Roman"/>
        </w:rPr>
        <w:t xml:space="preserve"> reject </w:t>
      </w:r>
      <w:r>
        <w:rPr>
          <w:rFonts w:ascii="Times New Roman" w:hAnsi="Times New Roman" w:cs="Times New Roman"/>
        </w:rPr>
        <w:t xml:space="preserve">that </w:t>
      </w:r>
      <w:r w:rsidRPr="0044482C">
        <w:rPr>
          <w:rFonts w:ascii="Times New Roman" w:hAnsi="Times New Roman" w:cs="Times New Roman"/>
        </w:rPr>
        <w:t>INFL has a unit root.</w:t>
      </w:r>
    </w:p>
  </w:footnote>
  <w:footnote w:id="10">
    <w:p w14:paraId="025F40E3" w14:textId="77777777" w:rsidR="000364A1" w:rsidRPr="0044482C" w:rsidRDefault="000364A1" w:rsidP="001369FF">
      <w:pPr>
        <w:spacing w:line="240" w:lineRule="auto"/>
        <w:ind w:firstLine="0"/>
      </w:pPr>
      <w:r w:rsidRPr="0044482C">
        <w:rPr>
          <w:rStyle w:val="FootnoteReference"/>
        </w:rPr>
        <w:footnoteRef/>
      </w:r>
      <w:r w:rsidRPr="0044482C">
        <w:t xml:space="preserve"> A number of different diagnostic tests, including </w:t>
      </w:r>
      <w:r w:rsidRPr="0044482C">
        <w:rPr>
          <w:rFonts w:eastAsia="Times New Roman"/>
        </w:rPr>
        <w:t>Akaike’s and Schwarz’s Bayesian information criteria,</w:t>
      </w:r>
      <w:r w:rsidRPr="0044482C">
        <w:t xml:space="preserve"> suggested the use of two or three lags. With the three added lags, the regressions pass Durbin’s “alternative test” for serial correlation and the P</w:t>
      </w:r>
      <w:r w:rsidRPr="0044482C">
        <w:rPr>
          <w:rFonts w:eastAsia="Times New Roman"/>
        </w:rPr>
        <w:t xml:space="preserve">ortmanteau (Q) test for white noise. </w:t>
      </w:r>
    </w:p>
  </w:footnote>
  <w:footnote w:id="11">
    <w:p w14:paraId="7D95EAA0" w14:textId="0570BEEF" w:rsidR="000364A1" w:rsidRPr="0044482C" w:rsidRDefault="000364A1" w:rsidP="001369FF">
      <w:pPr>
        <w:pStyle w:val="FootnoteText"/>
        <w:spacing w:line="240" w:lineRule="auto"/>
        <w:ind w:firstLine="0"/>
      </w:pPr>
      <w:r w:rsidRPr="0044482C">
        <w:rPr>
          <w:rStyle w:val="FootnoteReference"/>
          <w:rFonts w:ascii="Times New Roman" w:hAnsi="Times New Roman" w:cs="Times New Roman"/>
        </w:rPr>
        <w:footnoteRef/>
      </w:r>
      <w:r w:rsidRPr="0044482C">
        <w:rPr>
          <w:rStyle w:val="FootnoteReference"/>
          <w:rFonts w:ascii="Times New Roman" w:hAnsi="Times New Roman" w:cs="Times New Roman"/>
        </w:rPr>
        <w:t xml:space="preserve"> </w:t>
      </w:r>
      <w:r w:rsidRPr="0044482C">
        <w:rPr>
          <w:rFonts w:ascii="Times New Roman" w:hAnsi="Times New Roman" w:cs="Times New Roman"/>
        </w:rPr>
        <w:t>The QLR test was run on Model (4) in Table 1.</w:t>
      </w:r>
    </w:p>
  </w:footnote>
  <w:footnote w:id="12">
    <w:p w14:paraId="78FB9C00" w14:textId="3CA4F87B" w:rsidR="000364A1" w:rsidRPr="00B71927" w:rsidRDefault="000364A1" w:rsidP="00B71927">
      <w:pPr>
        <w:spacing w:line="240" w:lineRule="auto"/>
        <w:ind w:firstLine="0"/>
        <w:jc w:val="left"/>
        <w:rPr>
          <w:rFonts w:eastAsia="Times New Roman"/>
        </w:rPr>
      </w:pPr>
      <w:r w:rsidRPr="00BE2C81">
        <w:rPr>
          <w:rStyle w:val="FootnoteReference"/>
        </w:rPr>
        <w:footnoteRef/>
      </w:r>
      <w:r w:rsidRPr="00BE2C81">
        <w:t xml:space="preserve"> We take Volcker’</w:t>
      </w:r>
      <w:r w:rsidRPr="009B2FE1">
        <w:t>s first meeting as Chairman</w:t>
      </w:r>
      <w:r>
        <w:t xml:space="preserve">, </w:t>
      </w:r>
      <w:r>
        <w:rPr>
          <w:rFonts w:eastAsia="Times New Roman"/>
        </w:rPr>
        <w:t xml:space="preserve">August </w:t>
      </w:r>
      <w:r w:rsidRPr="00BE2C81">
        <w:rPr>
          <w:rFonts w:eastAsia="Times New Roman"/>
        </w:rPr>
        <w:t>14</w:t>
      </w:r>
      <w:r>
        <w:rPr>
          <w:rFonts w:eastAsia="Times New Roman"/>
        </w:rPr>
        <w:t xml:space="preserve">, </w:t>
      </w:r>
      <w:r w:rsidRPr="00BE2C81">
        <w:rPr>
          <w:rFonts w:eastAsia="Times New Roman"/>
        </w:rPr>
        <w:t>1979</w:t>
      </w:r>
      <w:r>
        <w:rPr>
          <w:rFonts w:eastAsia="Times New Roman"/>
        </w:rPr>
        <w:t>,</w:t>
      </w:r>
      <w:r w:rsidRPr="00BE2C81">
        <w:t xml:space="preserve"> as the beginning of the Volcker era.</w:t>
      </w:r>
    </w:p>
  </w:footnote>
  <w:footnote w:id="13">
    <w:p w14:paraId="5C605FEF" w14:textId="3807EC29" w:rsidR="000364A1" w:rsidRPr="00B71927" w:rsidRDefault="000364A1" w:rsidP="001369FF">
      <w:pPr>
        <w:spacing w:line="240" w:lineRule="auto"/>
        <w:ind w:firstLine="0"/>
        <w:rPr>
          <w:rFonts w:eastAsia="Times New Roman"/>
        </w:rPr>
      </w:pPr>
      <w:r w:rsidRPr="0044482C">
        <w:rPr>
          <w:rStyle w:val="FootnoteReference"/>
        </w:rPr>
        <w:footnoteRef/>
      </w:r>
      <w:r w:rsidRPr="0044482C">
        <w:t xml:space="preserve"> If we just eliminate </w:t>
      </w:r>
      <w:r w:rsidRPr="0044482C">
        <w:rPr>
          <w:i/>
        </w:rPr>
        <w:t>break</w:t>
      </w:r>
      <w:r w:rsidRPr="0044482C">
        <w:t xml:space="preserve">, CPI </w:t>
      </w:r>
      <w:r>
        <w:t>remains</w:t>
      </w:r>
      <w:r w:rsidRPr="0044482C">
        <w:t xml:space="preserve"> insignificant, but if we eliminate </w:t>
      </w:r>
      <w:r w:rsidRPr="0044482C">
        <w:rPr>
          <w:rFonts w:eastAsia="Times New Roman"/>
          <w:i/>
        </w:rPr>
        <w:t xml:space="preserve">time </w:t>
      </w:r>
      <w:r w:rsidRPr="0044482C">
        <w:rPr>
          <w:rFonts w:eastAsia="Times New Roman"/>
        </w:rPr>
        <w:t xml:space="preserve">and </w:t>
      </w:r>
      <w:r w:rsidRPr="0044482C">
        <w:rPr>
          <w:rFonts w:eastAsia="Times New Roman"/>
          <w:i/>
        </w:rPr>
        <w:t>break*time</w:t>
      </w:r>
      <w:r w:rsidRPr="0044482C">
        <w:rPr>
          <w:rFonts w:eastAsia="Times New Roman"/>
        </w:rPr>
        <w:t>, then CPI becomes significant, suggesting pr</w:t>
      </w:r>
      <w:r w:rsidRPr="00716A0D">
        <w:rPr>
          <w:rFonts w:eastAsia="Times New Roman"/>
        </w:rPr>
        <w:t>e-</w:t>
      </w:r>
      <w:r w:rsidRPr="00CD1F49">
        <w:rPr>
          <w:rFonts w:eastAsia="Times New Roman"/>
          <w:i/>
        </w:rPr>
        <w:t>break</w:t>
      </w:r>
      <w:r w:rsidRPr="00B71927">
        <w:rPr>
          <w:rFonts w:eastAsia="Times New Roman"/>
        </w:rPr>
        <w:t xml:space="preserve"> </w:t>
      </w:r>
      <w:r w:rsidRPr="00B71927">
        <w:rPr>
          <w:rFonts w:eastAsia="Times New Roman"/>
          <w:i/>
        </w:rPr>
        <w:t>time</w:t>
      </w:r>
      <w:r w:rsidRPr="00B71927">
        <w:rPr>
          <w:rFonts w:eastAsia="Times New Roman"/>
        </w:rPr>
        <w:t xml:space="preserve"> is washing out the significance of CPI.</w:t>
      </w:r>
    </w:p>
  </w:footnote>
  <w:footnote w:id="14">
    <w:p w14:paraId="241DE3E9" w14:textId="0923597F" w:rsidR="000364A1" w:rsidRPr="00B71927" w:rsidRDefault="000364A1" w:rsidP="001369FF">
      <w:pPr>
        <w:pStyle w:val="FootnoteText"/>
        <w:spacing w:line="240" w:lineRule="auto"/>
        <w:ind w:firstLine="0"/>
        <w:rPr>
          <w:rFonts w:ascii="Times New Roman" w:hAnsi="Times New Roman" w:cs="Times New Roman"/>
        </w:rPr>
      </w:pPr>
      <w:r w:rsidRPr="00716A0D">
        <w:rPr>
          <w:rStyle w:val="FootnoteReference"/>
          <w:rFonts w:ascii="Times New Roman" w:hAnsi="Times New Roman" w:cs="Times New Roman"/>
        </w:rPr>
        <w:footnoteRef/>
      </w:r>
      <w:r w:rsidRPr="00716A0D">
        <w:rPr>
          <w:rFonts w:ascii="Times New Roman" w:hAnsi="Times New Roman" w:cs="Times New Roman"/>
        </w:rPr>
        <w:t xml:space="preserve"> </w:t>
      </w:r>
      <w:r w:rsidRPr="00B71927">
        <w:rPr>
          <w:rFonts w:ascii="Times New Roman" w:hAnsi="Times New Roman" w:cs="Times New Roman"/>
          <w:color w:val="000000" w:themeColor="text1"/>
        </w:rPr>
        <w:t xml:space="preserve">We cannot reject the null hypothesis that the CPI coefficients (pre-break + post-break) sum to zero in Cols (2), (3) and (4) with a high degree of certainty: F test </w:t>
      </w:r>
      <w:r w:rsidRPr="00716A0D">
        <w:rPr>
          <w:rFonts w:ascii="Times New Roman" w:hAnsi="Times New Roman" w:cs="Times New Roman"/>
          <w:color w:val="000000" w:themeColor="text1"/>
        </w:rPr>
        <w:t>p-</w:t>
      </w:r>
      <w:r w:rsidRPr="00CD1F49">
        <w:rPr>
          <w:rFonts w:ascii="Times New Roman" w:hAnsi="Times New Roman" w:cs="Times New Roman"/>
          <w:color w:val="000000" w:themeColor="text1"/>
        </w:rPr>
        <w:t xml:space="preserve">values of </w:t>
      </w:r>
      <w:r w:rsidRPr="00B71927">
        <w:rPr>
          <w:rFonts w:ascii="Times New Roman" w:hAnsi="Times New Roman" w:cs="Times New Roman"/>
          <w:color w:val="000000" w:themeColor="text1"/>
        </w:rPr>
        <w:t>.7012, .8371, and .5215 respectively. We can reject the hypothesis that the sum of the unemployment coefficients equal zero in Cols (3) and (4) but not (2).</w:t>
      </w:r>
    </w:p>
  </w:footnote>
  <w:footnote w:id="15">
    <w:p w14:paraId="0BEF306A" w14:textId="3C95882C" w:rsidR="000364A1" w:rsidRPr="0044482C" w:rsidRDefault="000364A1" w:rsidP="001369FF">
      <w:pPr>
        <w:pStyle w:val="FootnoteText"/>
        <w:spacing w:line="240" w:lineRule="auto"/>
        <w:ind w:firstLine="0"/>
        <w:rPr>
          <w:rFonts w:ascii="Times New Roman" w:hAnsi="Times New Roman" w:cs="Times New Roman"/>
        </w:rPr>
      </w:pPr>
      <w:r w:rsidRPr="00716A0D">
        <w:rPr>
          <w:rStyle w:val="FootnoteReference"/>
          <w:rFonts w:ascii="Times New Roman" w:hAnsi="Times New Roman" w:cs="Times New Roman"/>
        </w:rPr>
        <w:footnoteRef/>
      </w:r>
      <w:r w:rsidRPr="00716A0D">
        <w:rPr>
          <w:rFonts w:ascii="Times New Roman" w:hAnsi="Times New Roman" w:cs="Times New Roman"/>
        </w:rPr>
        <w:t xml:space="preserve"> </w:t>
      </w:r>
      <w:r w:rsidRPr="00B71927">
        <w:rPr>
          <w:rFonts w:ascii="Times New Roman" w:hAnsi="Times New Roman" w:cs="Times New Roman"/>
          <w:color w:val="000000" w:themeColor="text1"/>
        </w:rPr>
        <w:t>We cannot reject the null hypothesis that the sum of the coefficients equals zero (F test</w:t>
      </w:r>
      <w:r>
        <w:rPr>
          <w:rFonts w:ascii="Times New Roman" w:hAnsi="Times New Roman" w:cs="Times New Roman"/>
          <w:color w:val="000000" w:themeColor="text1"/>
        </w:rPr>
        <w:t xml:space="preserve"> </w:t>
      </w:r>
      <w:r w:rsidRPr="0044482C">
        <w:rPr>
          <w:rFonts w:ascii="Times New Roman" w:hAnsi="Times New Roman" w:cs="Times New Roman"/>
          <w:color w:val="000000" w:themeColor="text1"/>
        </w:rPr>
        <w:t>p-value = .1599)</w:t>
      </w:r>
      <w:r>
        <w:rPr>
          <w:rFonts w:ascii="Times New Roman" w:hAnsi="Times New Roman" w:cs="Times New Roman"/>
          <w:color w:val="000000" w:themeColor="text1"/>
        </w:rPr>
        <w:t>.</w:t>
      </w:r>
    </w:p>
  </w:footnote>
  <w:footnote w:id="16">
    <w:p w14:paraId="55BD056A" w14:textId="6D676302" w:rsidR="000364A1" w:rsidRDefault="000364A1" w:rsidP="009F6635">
      <w:pPr>
        <w:pStyle w:val="FootnoteText"/>
        <w:spacing w:line="240" w:lineRule="auto"/>
        <w:ind w:firstLine="0"/>
      </w:pPr>
      <w:r>
        <w:rPr>
          <w:rStyle w:val="FootnoteReference"/>
        </w:rPr>
        <w:footnoteRef/>
      </w:r>
      <w:r>
        <w:t xml:space="preserve"> </w:t>
      </w:r>
      <w:r w:rsidRPr="009F6635">
        <w:rPr>
          <w:rFonts w:ascii="Times New Roman" w:hAnsi="Times New Roman" w:cs="Times New Roman"/>
        </w:rPr>
        <w:t xml:space="preserve">The forecast data </w:t>
      </w:r>
      <w:r>
        <w:rPr>
          <w:rFonts w:ascii="Times New Roman" w:hAnsi="Times New Roman" w:cs="Times New Roman"/>
        </w:rPr>
        <w:t>for</w:t>
      </w:r>
      <w:r w:rsidRPr="009F6635">
        <w:rPr>
          <w:rFonts w:ascii="Times New Roman" w:hAnsi="Times New Roman" w:cs="Times New Roman"/>
        </w:rPr>
        <w:t xml:space="preserve"> CPI and GDP deflator are for the immediate quarter after the Greenbook</w:t>
      </w:r>
      <w:r>
        <w:rPr>
          <w:rFonts w:ascii="Times New Roman" w:hAnsi="Times New Roman" w:cs="Times New Roman"/>
        </w:rPr>
        <w:t xml:space="preserve"> d</w:t>
      </w:r>
      <w:r w:rsidRPr="009F6635">
        <w:rPr>
          <w:rFonts w:ascii="Times New Roman" w:hAnsi="Times New Roman" w:cs="Times New Roman"/>
        </w:rPr>
        <w:t>ate.</w:t>
      </w:r>
    </w:p>
  </w:footnote>
  <w:footnote w:id="17">
    <w:p w14:paraId="51C7943C" w14:textId="2C2D0C45" w:rsidR="000364A1" w:rsidRPr="0044482C" w:rsidRDefault="000364A1" w:rsidP="00725F6F">
      <w:pPr>
        <w:pStyle w:val="FootnoteText"/>
        <w:spacing w:line="240" w:lineRule="auto"/>
        <w:ind w:firstLine="0"/>
        <w:rPr>
          <w:rFonts w:ascii="Times New Roman" w:hAnsi="Times New Roman" w:cs="Times New Roman"/>
        </w:rPr>
      </w:pPr>
      <w:r w:rsidRPr="0044482C">
        <w:rPr>
          <w:rStyle w:val="FootnoteReference"/>
          <w:rFonts w:ascii="Times New Roman" w:hAnsi="Times New Roman" w:cs="Times New Roman"/>
        </w:rPr>
        <w:footnoteRef/>
      </w:r>
      <w:r w:rsidRPr="0044482C">
        <w:rPr>
          <w:rFonts w:ascii="Times New Roman" w:hAnsi="Times New Roman" w:cs="Times New Roman"/>
        </w:rPr>
        <w:t xml:space="preserve"> Anchoring occurs when an easily-accessible example becomes the focal point for decision-making (Kahneman and Tversky</w:t>
      </w:r>
      <w:r>
        <w:rPr>
          <w:rFonts w:ascii="Times New Roman" w:hAnsi="Times New Roman" w:cs="Times New Roman"/>
        </w:rPr>
        <w:t xml:space="preserve"> </w:t>
      </w:r>
      <w:r w:rsidRPr="0044482C">
        <w:rPr>
          <w:rFonts w:ascii="Times New Roman" w:hAnsi="Times New Roman" w:cs="Times New Roman"/>
        </w:rPr>
        <w:t>1979). For a recent study on the importance of heuristic availability in Fed</w:t>
      </w:r>
      <w:r>
        <w:rPr>
          <w:rFonts w:ascii="Times New Roman" w:hAnsi="Times New Roman" w:cs="Times New Roman"/>
        </w:rPr>
        <w:t xml:space="preserve"> decisions</w:t>
      </w:r>
      <w:r w:rsidRPr="0044482C">
        <w:rPr>
          <w:rFonts w:ascii="Times New Roman" w:hAnsi="Times New Roman" w:cs="Times New Roman"/>
        </w:rPr>
        <w:t xml:space="preserve">, see Eichengreen (2012). </w:t>
      </w:r>
    </w:p>
  </w:footnote>
  <w:footnote w:id="18">
    <w:p w14:paraId="35D2CA49" w14:textId="39E3ED66" w:rsidR="004746D1" w:rsidRDefault="004746D1" w:rsidP="00A0004D">
      <w:pPr>
        <w:pStyle w:val="FootnoteText"/>
        <w:spacing w:line="240" w:lineRule="auto"/>
        <w:ind w:firstLine="0"/>
      </w:pPr>
      <w:r>
        <w:rPr>
          <w:rStyle w:val="FootnoteReference"/>
        </w:rPr>
        <w:footnoteRef/>
      </w:r>
      <w:r>
        <w:t xml:space="preserve"> </w:t>
      </w:r>
      <w:r w:rsidRPr="004746D1">
        <w:t xml:space="preserve">The effective federal funds rate between meetings is calculated by taking the average of </w:t>
      </w:r>
      <w:r w:rsidR="00AB0F62">
        <w:t xml:space="preserve">the daily effective </w:t>
      </w:r>
      <w:r w:rsidRPr="004746D1">
        <w:t>federal funds rates for days between one meeting and the next.</w:t>
      </w:r>
    </w:p>
  </w:footnote>
  <w:footnote w:id="19">
    <w:p w14:paraId="3C83B552" w14:textId="63BB3DB2" w:rsidR="000364A1" w:rsidRPr="00FE0928" w:rsidRDefault="000364A1" w:rsidP="007634DD">
      <w:pPr>
        <w:spacing w:line="240" w:lineRule="auto"/>
        <w:ind w:firstLine="0"/>
      </w:pPr>
      <w:r w:rsidRPr="00FE0928">
        <w:rPr>
          <w:rStyle w:val="FootnoteReference"/>
        </w:rPr>
        <w:footnoteRef/>
      </w:r>
      <w:r w:rsidRPr="00FE0928">
        <w:t xml:space="preserve"> Which equals the long run real interest rate plus the Fed’s inflation target.</w:t>
      </w:r>
    </w:p>
  </w:footnote>
  <w:footnote w:id="20">
    <w:p w14:paraId="053EC89B" w14:textId="573C7035" w:rsidR="000364A1" w:rsidRPr="0044482C" w:rsidRDefault="000364A1" w:rsidP="001369FF">
      <w:pPr>
        <w:pStyle w:val="FootnoteText"/>
        <w:spacing w:line="240" w:lineRule="auto"/>
        <w:ind w:firstLine="0"/>
        <w:rPr>
          <w:rFonts w:ascii="Times New Roman" w:hAnsi="Times New Roman" w:cs="Times New Roman"/>
          <w:color w:val="1F497D" w:themeColor="text2"/>
        </w:rPr>
      </w:pPr>
      <w:r w:rsidRPr="0044482C">
        <w:rPr>
          <w:rStyle w:val="FootnoteReference"/>
          <w:rFonts w:ascii="Times New Roman" w:hAnsi="Times New Roman" w:cs="Times New Roman"/>
          <w:color w:val="000000" w:themeColor="text1"/>
        </w:rPr>
        <w:footnoteRef/>
      </w:r>
      <w:r w:rsidRPr="0044482C">
        <w:rPr>
          <w:rFonts w:ascii="Times New Roman" w:hAnsi="Times New Roman" w:cs="Times New Roman"/>
          <w:color w:val="000000" w:themeColor="text1"/>
        </w:rPr>
        <w:t xml:space="preserve"> </w:t>
      </w:r>
      <w:r>
        <w:rPr>
          <w:rFonts w:ascii="Times New Roman" w:hAnsi="Times New Roman" w:cs="Times New Roman"/>
          <w:color w:val="000000" w:themeColor="text1"/>
        </w:rPr>
        <w:t>Table 2 estimations</w:t>
      </w:r>
      <w:r w:rsidRPr="0044482C">
        <w:rPr>
          <w:rFonts w:ascii="Times New Roman" w:hAnsi="Times New Roman" w:cs="Times New Roman"/>
          <w:color w:val="000000" w:themeColor="text1"/>
        </w:rPr>
        <w:t xml:space="preserve"> exclude observations after January</w:t>
      </w:r>
      <w:r>
        <w:rPr>
          <w:rFonts w:ascii="Times New Roman" w:hAnsi="Times New Roman" w:cs="Times New Roman"/>
          <w:color w:val="000000" w:themeColor="text1"/>
        </w:rPr>
        <w:t xml:space="preserve"> 28,</w:t>
      </w:r>
      <w:r w:rsidRPr="0044482C">
        <w:rPr>
          <w:rFonts w:ascii="Times New Roman" w:hAnsi="Times New Roman" w:cs="Times New Roman"/>
          <w:color w:val="000000" w:themeColor="text1"/>
        </w:rPr>
        <w:t xml:space="preserve"> 2009, because thereafter the federal funds rate was at its lower zero bound, while the Taylor Rule would have predicted that it should go below zero. </w:t>
      </w:r>
    </w:p>
  </w:footnote>
  <w:footnote w:id="21">
    <w:p w14:paraId="47FC5A7E" w14:textId="2A930357" w:rsidR="000364A1" w:rsidRPr="00B71927" w:rsidRDefault="000364A1" w:rsidP="00B71927">
      <w:pPr>
        <w:pStyle w:val="FootnoteText"/>
        <w:spacing w:line="240" w:lineRule="auto"/>
        <w:ind w:firstLine="0"/>
        <w:rPr>
          <w:rFonts w:ascii="Times New Roman" w:hAnsi="Times New Roman" w:cs="Times New Roman"/>
        </w:rPr>
      </w:pPr>
      <w:r w:rsidRPr="00B71927">
        <w:rPr>
          <w:rStyle w:val="FootnoteReference"/>
          <w:rFonts w:ascii="Times New Roman" w:hAnsi="Times New Roman" w:cs="Times New Roman"/>
        </w:rPr>
        <w:footnoteRef/>
      </w:r>
      <w:r w:rsidRPr="00B71927">
        <w:rPr>
          <w:rFonts w:ascii="Times New Roman" w:hAnsi="Times New Roman" w:cs="Times New Roman"/>
        </w:rPr>
        <w:t xml:space="preserve"> We would like to thank an anonymous referee for suggesting that we include </w:t>
      </w:r>
      <w:r w:rsidRPr="0030637D">
        <w:rPr>
          <w:rFonts w:ascii="Times New Roman" w:hAnsi="Times New Roman" w:cs="Times New Roman"/>
        </w:rPr>
        <w:t>an INFL*</w:t>
      </w:r>
      <w:r w:rsidRPr="00B71927">
        <w:rPr>
          <w:rFonts w:ascii="Times New Roman" w:hAnsi="Times New Roman" w:cs="Times New Roman"/>
        </w:rPr>
        <w:t xml:space="preserve">break variable in these regressions. </w:t>
      </w:r>
    </w:p>
  </w:footnote>
  <w:footnote w:id="22">
    <w:p w14:paraId="43AA484C" w14:textId="207598A3" w:rsidR="000364A1" w:rsidRPr="001369FF" w:rsidRDefault="000364A1" w:rsidP="001369FF">
      <w:pPr>
        <w:pStyle w:val="FootnoteText"/>
        <w:spacing w:line="240" w:lineRule="auto"/>
        <w:ind w:firstLine="0"/>
        <w:rPr>
          <w:rFonts w:ascii="Times New Roman" w:hAnsi="Times New Roman" w:cs="Times New Roman"/>
          <w:sz w:val="20"/>
          <w:szCs w:val="20"/>
        </w:rPr>
      </w:pPr>
      <w:r w:rsidRPr="0044482C">
        <w:rPr>
          <w:rStyle w:val="FootnoteReference"/>
          <w:rFonts w:ascii="Times New Roman" w:hAnsi="Times New Roman" w:cs="Times New Roman"/>
        </w:rPr>
        <w:footnoteRef/>
      </w:r>
      <w:r w:rsidRPr="0044482C">
        <w:rPr>
          <w:rFonts w:ascii="Times New Roman" w:hAnsi="Times New Roman" w:cs="Times New Roman"/>
        </w:rPr>
        <w:t xml:space="preserve"> In standard 2SLS, the fitted values of </w:t>
      </w:r>
      <w:r w:rsidRPr="0044482C">
        <w:rPr>
          <w:rFonts w:ascii="Times New Roman" w:hAnsi="Times New Roman" w:cs="Times New Roman"/>
          <w:i/>
        </w:rPr>
        <w:t>FFR</w:t>
      </w:r>
      <w:r w:rsidRPr="0044482C">
        <w:rPr>
          <w:rFonts w:ascii="Times New Roman" w:hAnsi="Times New Roman" w:cs="Times New Roman"/>
          <w:i/>
          <w:vertAlign w:val="subscript"/>
        </w:rPr>
        <w:t>t-1</w:t>
      </w:r>
      <w:r w:rsidRPr="0044482C">
        <w:rPr>
          <w:rFonts w:ascii="Times New Roman" w:hAnsi="Times New Roman" w:cs="Times New Roman"/>
        </w:rPr>
        <w:t xml:space="preserve"> from the first stage are by construction independent of the errors in the 2nd stage, but here because of the lags, the fitted values are only close to independent. Thinking in terms of instrumental variables, the fitted values from the 1st stage, as in standard 2SLS, represent the optimal linear combination of instruments to replace </w:t>
      </w:r>
      <w:r w:rsidRPr="0044482C">
        <w:rPr>
          <w:rFonts w:ascii="Times New Roman" w:hAnsi="Times New Roman" w:cs="Times New Roman"/>
          <w:i/>
        </w:rPr>
        <w:t>FFR</w:t>
      </w:r>
      <w:r w:rsidRPr="0044482C">
        <w:rPr>
          <w:rFonts w:ascii="Times New Roman" w:hAnsi="Times New Roman" w:cs="Times New Roman"/>
          <w:i/>
          <w:vertAlign w:val="subscript"/>
        </w:rPr>
        <w:t xml:space="preserve">t-1 </w:t>
      </w:r>
      <w:r w:rsidRPr="0044482C">
        <w:rPr>
          <w:rFonts w:ascii="Times New Roman" w:hAnsi="Times New Roman" w:cs="Times New Roman"/>
        </w:rPr>
        <w:t>in the 2nd stage.</w:t>
      </w:r>
      <w:r w:rsidRPr="001369FF">
        <w:rPr>
          <w:rFonts w:ascii="Times New Roman" w:hAnsi="Times New Roman" w:cs="Times New Roman"/>
          <w:sz w:val="20"/>
          <w:szCs w:val="20"/>
        </w:rPr>
        <w:t xml:space="preserve"> </w:t>
      </w:r>
    </w:p>
  </w:footnote>
  <w:footnote w:id="23">
    <w:p w14:paraId="64A63CC3" w14:textId="44A9837C" w:rsidR="000364A1" w:rsidRPr="00B71927" w:rsidRDefault="000364A1" w:rsidP="00741648">
      <w:pPr>
        <w:spacing w:line="240" w:lineRule="auto"/>
        <w:ind w:firstLine="0"/>
        <w:rPr>
          <w:rFonts w:ascii="Calibri" w:eastAsia="Times New Roman" w:hAnsi="Calibri"/>
          <w:color w:val="000000"/>
        </w:rPr>
      </w:pPr>
      <w:r>
        <w:rPr>
          <w:rStyle w:val="FootnoteReference"/>
        </w:rPr>
        <w:footnoteRef/>
      </w:r>
      <w:r>
        <w:t xml:space="preserve"> The long run effect is calculated as follows: t</w:t>
      </w:r>
      <w:r w:rsidRPr="009D469E">
        <w:t xml:space="preserve">he immediate effect of a one unit increase in INFL </w:t>
      </w:r>
      <w:r>
        <w:t xml:space="preserve">post-break </w:t>
      </w:r>
      <w:r w:rsidRPr="009D469E">
        <w:t xml:space="preserve">on </w:t>
      </w:r>
      <w:r w:rsidRPr="009D469E">
        <w:rPr>
          <w:i/>
        </w:rPr>
        <w:t>FFR</w:t>
      </w:r>
      <w:r w:rsidRPr="009D469E">
        <w:rPr>
          <w:i/>
          <w:vertAlign w:val="subscript"/>
        </w:rPr>
        <w:t>t</w:t>
      </w:r>
      <w:r w:rsidRPr="009D469E">
        <w:t xml:space="preserve"> in Column (3) equals </w:t>
      </w:r>
      <w:r w:rsidRPr="00B71927">
        <w:rPr>
          <w:rFonts w:eastAsia="Times New Roman"/>
          <w:color w:val="000000"/>
        </w:rPr>
        <w:t>5.126</w:t>
      </w:r>
      <w:r>
        <w:rPr>
          <w:rFonts w:eastAsia="Times New Roman"/>
          <w:color w:val="000000"/>
        </w:rPr>
        <w:t xml:space="preserve"> (i.e., </w:t>
      </w:r>
      <w:r w:rsidRPr="00B62385">
        <w:rPr>
          <w:rFonts w:eastAsia="Times New Roman"/>
          <w:color w:val="000000"/>
        </w:rPr>
        <w:t>1.155</w:t>
      </w:r>
      <w:r>
        <w:rPr>
          <w:rFonts w:eastAsia="Times New Roman"/>
          <w:color w:val="000000"/>
        </w:rPr>
        <w:t xml:space="preserve"> </w:t>
      </w:r>
      <w:r w:rsidRPr="00B62385">
        <w:rPr>
          <w:rFonts w:eastAsia="Times New Roman"/>
          <w:color w:val="000000"/>
        </w:rPr>
        <w:t>+</w:t>
      </w:r>
      <w:r>
        <w:rPr>
          <w:rFonts w:eastAsia="Times New Roman"/>
          <w:color w:val="000000"/>
        </w:rPr>
        <w:t xml:space="preserve"> </w:t>
      </w:r>
      <w:r w:rsidRPr="00B62385">
        <w:rPr>
          <w:rFonts w:eastAsia="Times New Roman"/>
          <w:color w:val="000000"/>
        </w:rPr>
        <w:t>3.971</w:t>
      </w:r>
      <w:r>
        <w:rPr>
          <w:rFonts w:eastAsia="Times New Roman"/>
          <w:color w:val="000000"/>
        </w:rPr>
        <w:t>)</w:t>
      </w:r>
      <w:r w:rsidRPr="009D469E">
        <w:t>, which according to equation (</w:t>
      </w:r>
      <w:r>
        <w:t>5</w:t>
      </w:r>
      <w:r w:rsidRPr="009D469E">
        <w:t xml:space="preserve">) equals </w:t>
      </w:r>
      <w:r w:rsidRPr="009D469E">
        <w:sym w:font="Symbol" w:char="F06C"/>
      </w:r>
      <w:r w:rsidRPr="009D469E">
        <w:t xml:space="preserve">* INFL’s effect on the Taylor Rule Target. </w:t>
      </w:r>
      <w:r w:rsidRPr="009D469E">
        <w:sym w:font="Symbol" w:char="F06C"/>
      </w:r>
      <w:r w:rsidRPr="009D469E">
        <w:t xml:space="preserve"> equals (1 - the coefficient on Predicted </w:t>
      </w:r>
      <w:r w:rsidRPr="009D469E">
        <w:rPr>
          <w:i/>
        </w:rPr>
        <w:t>FFR</w:t>
      </w:r>
      <w:r w:rsidRPr="009D469E">
        <w:rPr>
          <w:i/>
          <w:vertAlign w:val="subscript"/>
        </w:rPr>
        <w:t>t-1</w:t>
      </w:r>
      <w:r w:rsidRPr="009D469E">
        <w:t xml:space="preserve">), which </w:t>
      </w:r>
      <w:r>
        <w:t>is</w:t>
      </w:r>
      <w:r w:rsidRPr="009D469E">
        <w:t xml:space="preserve"> </w:t>
      </w:r>
      <w:r w:rsidRPr="00B71927">
        <w:rPr>
          <w:rFonts w:eastAsia="Times New Roman"/>
          <w:color w:val="000000"/>
        </w:rPr>
        <w:t>0.447</w:t>
      </w:r>
      <w:r>
        <w:rPr>
          <w:rFonts w:eastAsia="Times New Roman"/>
          <w:color w:val="000000"/>
        </w:rPr>
        <w:t>.</w:t>
      </w:r>
      <w:r>
        <w:rPr>
          <w:rFonts w:ascii="Calibri" w:eastAsia="Times New Roman" w:hAnsi="Calibri"/>
          <w:color w:val="000000"/>
        </w:rPr>
        <w:t xml:space="preserve"> </w:t>
      </w:r>
      <w:r w:rsidRPr="009D469E">
        <w:t xml:space="preserve">Therefore, the influence of INFL </w:t>
      </w:r>
      <w:r>
        <w:t xml:space="preserve">post-break </w:t>
      </w:r>
      <w:r w:rsidRPr="009D469E">
        <w:t xml:space="preserve">on the Taylor Rule Target Interest Rate </w:t>
      </w:r>
      <w:r>
        <w:t xml:space="preserve">itself </w:t>
      </w:r>
      <w:r w:rsidRPr="009D469E">
        <w:t>(which also equals INFL’s long run effect on the federal funds rate when FFR</w:t>
      </w:r>
      <w:r w:rsidRPr="009D469E">
        <w:rPr>
          <w:vertAlign w:val="subscript"/>
        </w:rPr>
        <w:t xml:space="preserve">t </w:t>
      </w:r>
      <w:r w:rsidRPr="009D469E">
        <w:t>= FFR</w:t>
      </w:r>
      <w:r w:rsidRPr="009D469E">
        <w:rPr>
          <w:vertAlign w:val="subscript"/>
        </w:rPr>
        <w:t>t-1</w:t>
      </w:r>
      <w:r w:rsidRPr="009D469E">
        <w:t xml:space="preserve">) equals </w:t>
      </w:r>
      <w:r>
        <w:t>5.126</w:t>
      </w:r>
      <w:r w:rsidRPr="009D469E">
        <w:t>/.4</w:t>
      </w:r>
      <w:r>
        <w:t>47</w:t>
      </w:r>
      <w:r w:rsidRPr="009D469E">
        <w:t xml:space="preserve"> = </w:t>
      </w:r>
      <w:r>
        <w:t>11.47</w:t>
      </w:r>
      <w:r w:rsidRPr="009D469E">
        <w:t xml:space="preserve">. </w:t>
      </w:r>
      <w:r>
        <w:t>INFL, of course, cannot increase by a unit since it is less than 1. A 10% increase will therefore result in 1.147% increase in FFR.</w:t>
      </w:r>
    </w:p>
  </w:footnote>
  <w:footnote w:id="24">
    <w:p w14:paraId="27E4B71A" w14:textId="6C7D3E78" w:rsidR="000364A1" w:rsidRPr="00BC06E6" w:rsidRDefault="000364A1" w:rsidP="00BC06E6">
      <w:pPr>
        <w:spacing w:line="240" w:lineRule="auto"/>
        <w:ind w:firstLine="0"/>
        <w:rPr>
          <w:rFonts w:eastAsia="Times New Roman"/>
        </w:rPr>
      </w:pPr>
      <w:r w:rsidRPr="00B71927">
        <w:rPr>
          <w:rStyle w:val="FootnoteReference"/>
        </w:rPr>
        <w:footnoteRef/>
      </w:r>
      <w:r w:rsidRPr="00B71927">
        <w:t xml:space="preserve"> </w:t>
      </w:r>
      <w:r w:rsidRPr="00D079CC">
        <w:rPr>
          <w:rFonts w:eastAsia="Times New Roman"/>
        </w:rPr>
        <w:t>Following a referee’s suggestion, we also ran a simple regression with the error term in Columns (1), (2) and (3) as the dependent variable and INFL as the independent variable.</w:t>
      </w:r>
      <w:r>
        <w:rPr>
          <w:rFonts w:eastAsia="Times New Roman"/>
        </w:rPr>
        <w:t xml:space="preserve"> </w:t>
      </w:r>
      <w:r w:rsidRPr="00B71927">
        <w:t xml:space="preserve">In all cases, the coefficient on INFL was statistically significant and positive. This means </w:t>
      </w:r>
      <w:r>
        <w:t xml:space="preserve">that larger values of </w:t>
      </w:r>
      <w:r w:rsidRPr="006270CD">
        <w:t xml:space="preserve">INFL </w:t>
      </w:r>
      <w:r>
        <w:t xml:space="preserve">correspond to times when the standard Taylor Rule under-predicts the federal funds rate. </w:t>
      </w:r>
    </w:p>
  </w:footnote>
  <w:footnote w:id="25">
    <w:p w14:paraId="1794A356" w14:textId="30E8EECA" w:rsidR="000364A1" w:rsidRPr="009F6635" w:rsidRDefault="000364A1" w:rsidP="00762EFF">
      <w:pPr>
        <w:spacing w:line="240" w:lineRule="auto"/>
        <w:ind w:firstLine="0"/>
        <w:contextualSpacing/>
        <w:rPr>
          <w:rFonts w:eastAsia="Times New Roman"/>
        </w:rPr>
      </w:pPr>
      <w:r>
        <w:rPr>
          <w:rStyle w:val="FootnoteReference"/>
        </w:rPr>
        <w:footnoteRef/>
      </w:r>
      <w:r>
        <w:t xml:space="preserve"> It should be noted that in all of our regressions that use the CPI, the long run coefficient on the CPI is less than 1. This </w:t>
      </w:r>
      <w:r w:rsidR="001F7581">
        <w:t xml:space="preserve">implies </w:t>
      </w:r>
      <w:r>
        <w:t xml:space="preserve">that when the inflation rate increases, the FOMC does not raise the federal funds rate as much, so the real interest rate falls. When we use the forecast GDP deflator, however, the long run coefficient is greater than 1 (See Appendix D2). We have, nevertheless, chosen to present the CPI results because they span a time period that is 35% longer. </w:t>
      </w:r>
    </w:p>
    <w:p w14:paraId="309C9140" w14:textId="359105B4" w:rsidR="000364A1" w:rsidRDefault="000364A1">
      <w:pPr>
        <w:pStyle w:val="FootnoteText"/>
      </w:pPr>
    </w:p>
  </w:footnote>
  <w:footnote w:id="26">
    <w:p w14:paraId="5C9E25D2" w14:textId="53B5CFBE" w:rsidR="000364A1" w:rsidRPr="00D65680" w:rsidRDefault="000364A1" w:rsidP="00A0004D">
      <w:pPr>
        <w:pStyle w:val="FootnoteText"/>
        <w:spacing w:line="240" w:lineRule="auto"/>
        <w:ind w:firstLine="0"/>
        <w:jc w:val="left"/>
        <w:rPr>
          <w:rFonts w:ascii="Times New Roman" w:hAnsi="Times New Roman" w:cs="Times New Roman"/>
          <w:color w:val="000000" w:themeColor="text1"/>
        </w:rPr>
      </w:pPr>
      <w:r w:rsidRPr="009231B8">
        <w:rPr>
          <w:rStyle w:val="FootnoteReference"/>
          <w:rFonts w:ascii="Times New Roman" w:hAnsi="Times New Roman" w:cs="Times New Roman"/>
        </w:rPr>
        <w:footnoteRef/>
      </w:r>
      <w:r w:rsidRPr="009231B8">
        <w:rPr>
          <w:rFonts w:ascii="Times New Roman" w:hAnsi="Times New Roman" w:cs="Times New Roman"/>
        </w:rPr>
        <w:t xml:space="preserve"> </w:t>
      </w:r>
      <w:r w:rsidRPr="00D65680">
        <w:rPr>
          <w:rFonts w:ascii="Times New Roman" w:hAnsi="Times New Roman" w:cs="Times New Roman"/>
          <w:color w:val="000000" w:themeColor="text1"/>
        </w:rPr>
        <w:t xml:space="preserve">For example, “Why is the Fed So Scared of Inflation?” </w:t>
      </w:r>
      <w:r w:rsidRPr="00D65680">
        <w:rPr>
          <w:rFonts w:ascii="Times New Roman" w:hAnsi="Times New Roman" w:cs="Times New Roman"/>
          <w:i/>
          <w:color w:val="000000" w:themeColor="text1"/>
        </w:rPr>
        <w:t>New York Times</w:t>
      </w:r>
      <w:r w:rsidRPr="00D65680">
        <w:rPr>
          <w:rFonts w:ascii="Times New Roman" w:hAnsi="Times New Roman" w:cs="Times New Roman"/>
          <w:color w:val="000000" w:themeColor="text1"/>
        </w:rPr>
        <w:t xml:space="preserve"> Editorial </w:t>
      </w:r>
      <w:hyperlink r:id="rId1" w:history="1">
        <w:r w:rsidRPr="00D65680">
          <w:rPr>
            <w:rStyle w:val="Hyperlink"/>
            <w:rFonts w:ascii="Times New Roman" w:hAnsi="Times New Roman" w:cs="Times New Roman"/>
            <w:color w:val="000000" w:themeColor="text1"/>
          </w:rPr>
          <w:t>https://www.nytimes.com/2017/08/22/opinion/fed-inflation-interest-rates-workers.html</w:t>
        </w:r>
      </w:hyperlink>
      <w:r w:rsidRPr="00D65680">
        <w:rPr>
          <w:rFonts w:ascii="Times New Roman" w:hAnsi="Times New Roman" w:cs="Times New Roman"/>
          <w:color w:val="000000" w:themeColor="text1"/>
        </w:rPr>
        <w:t xml:space="preserve">, and Matthew Klein, </w:t>
      </w:r>
      <w:hyperlink r:id="rId2" w:history="1">
        <w:r w:rsidRPr="00D65680">
          <w:rPr>
            <w:rStyle w:val="Hyperlink"/>
            <w:rFonts w:ascii="Times New Roman" w:hAnsi="Times New Roman" w:cs="Times New Roman"/>
            <w:color w:val="000000" w:themeColor="text1"/>
          </w:rPr>
          <w:t>https://www.barrons.com/articles/is-the-fed-partly-to-blame-for-wage-stagnation-1532128102</w:t>
        </w:r>
      </w:hyperlink>
      <w:r w:rsidRPr="00D65680">
        <w:rPr>
          <w:rFonts w:ascii="Times New Roman" w:hAnsi="Times New Roman" w:cs="Times New Roman"/>
          <w:color w:val="000000" w:themeColor="text1"/>
        </w:rPr>
        <w:t>, July 20, 2018.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03EC6"/>
    <w:multiLevelType w:val="hybridMultilevel"/>
    <w:tmpl w:val="E55469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019AE"/>
    <w:multiLevelType w:val="hybridMultilevel"/>
    <w:tmpl w:val="B4B04F00"/>
    <w:lvl w:ilvl="0" w:tplc="1452C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A7B31"/>
    <w:multiLevelType w:val="hybridMultilevel"/>
    <w:tmpl w:val="B4B04F00"/>
    <w:lvl w:ilvl="0" w:tplc="1452C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02A75"/>
    <w:multiLevelType w:val="hybridMultilevel"/>
    <w:tmpl w:val="B4B04F00"/>
    <w:lvl w:ilvl="0" w:tplc="1452C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7F0DFC"/>
    <w:multiLevelType w:val="hybridMultilevel"/>
    <w:tmpl w:val="817E66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1B58F0"/>
    <w:multiLevelType w:val="hybridMultilevel"/>
    <w:tmpl w:val="F7203C06"/>
    <w:lvl w:ilvl="0" w:tplc="F712181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1F1511"/>
    <w:multiLevelType w:val="hybridMultilevel"/>
    <w:tmpl w:val="F7203C06"/>
    <w:lvl w:ilvl="0" w:tplc="F7121814">
      <w:start w:val="1"/>
      <w:numFmt w:val="decimal"/>
      <w:lvlText w:val="(%1)"/>
      <w:lvlJc w:val="left"/>
      <w:pPr>
        <w:ind w:left="690" w:hanging="4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F8B13A4"/>
    <w:multiLevelType w:val="hybridMultilevel"/>
    <w:tmpl w:val="EA5EA84C"/>
    <w:lvl w:ilvl="0" w:tplc="58622266">
      <w:start w:val="4"/>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353D35"/>
    <w:multiLevelType w:val="hybridMultilevel"/>
    <w:tmpl w:val="C85280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A7B52DF"/>
    <w:multiLevelType w:val="hybridMultilevel"/>
    <w:tmpl w:val="72489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15304C"/>
    <w:multiLevelType w:val="hybridMultilevel"/>
    <w:tmpl w:val="F7203C06"/>
    <w:lvl w:ilvl="0" w:tplc="F712181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447467"/>
    <w:multiLevelType w:val="hybridMultilevel"/>
    <w:tmpl w:val="AF304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DC66E19"/>
    <w:multiLevelType w:val="hybridMultilevel"/>
    <w:tmpl w:val="322050CE"/>
    <w:lvl w:ilvl="0" w:tplc="8A4C2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1719C5"/>
    <w:multiLevelType w:val="hybridMultilevel"/>
    <w:tmpl w:val="6AFCD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D47BE9"/>
    <w:multiLevelType w:val="hybridMultilevel"/>
    <w:tmpl w:val="2B20F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F91D86"/>
    <w:multiLevelType w:val="hybridMultilevel"/>
    <w:tmpl w:val="B4B04F00"/>
    <w:lvl w:ilvl="0" w:tplc="1452C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D04EF4"/>
    <w:multiLevelType w:val="multilevel"/>
    <w:tmpl w:val="6A9A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BD52BE"/>
    <w:multiLevelType w:val="hybridMultilevel"/>
    <w:tmpl w:val="60A27CAA"/>
    <w:lvl w:ilvl="0" w:tplc="F5D46E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10"/>
  </w:num>
  <w:num w:numId="4">
    <w:abstractNumId w:val="14"/>
  </w:num>
  <w:num w:numId="5">
    <w:abstractNumId w:val="16"/>
  </w:num>
  <w:num w:numId="6">
    <w:abstractNumId w:val="5"/>
  </w:num>
  <w:num w:numId="7">
    <w:abstractNumId w:val="13"/>
  </w:num>
  <w:num w:numId="8">
    <w:abstractNumId w:val="9"/>
  </w:num>
  <w:num w:numId="9">
    <w:abstractNumId w:val="3"/>
  </w:num>
  <w:num w:numId="10">
    <w:abstractNumId w:val="7"/>
  </w:num>
  <w:num w:numId="11">
    <w:abstractNumId w:val="15"/>
  </w:num>
  <w:num w:numId="12">
    <w:abstractNumId w:val="0"/>
  </w:num>
  <w:num w:numId="13">
    <w:abstractNumId w:val="2"/>
  </w:num>
  <w:num w:numId="14">
    <w:abstractNumId w:val="1"/>
  </w:num>
  <w:num w:numId="15">
    <w:abstractNumId w:val="12"/>
  </w:num>
  <w:num w:numId="16">
    <w:abstractNumId w:val="11"/>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visionView w:markup="0"/>
  <w:defaultTabStop w:val="720"/>
  <w:drawingGridHorizontalSpacing w:val="120"/>
  <w:displayHorizontalDrawingGridEvery w:val="2"/>
  <w:displayVerticalDrawingGridEvery w:val="2"/>
  <w:characterSpacingControl w:val="doNotCompress"/>
  <w:footnotePr>
    <w:footnote w:id="-1"/>
    <w:footnote w:id="0"/>
  </w:footnotePr>
  <w:endnotePr>
    <w:pos w:val="sectEnd"/>
    <w:numFmt w:val="decimal"/>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61"/>
    <w:rsid w:val="00000347"/>
    <w:rsid w:val="00000C3F"/>
    <w:rsid w:val="000017BC"/>
    <w:rsid w:val="00001A1D"/>
    <w:rsid w:val="00001B59"/>
    <w:rsid w:val="00001DEB"/>
    <w:rsid w:val="000025B3"/>
    <w:rsid w:val="000027BC"/>
    <w:rsid w:val="00002C1B"/>
    <w:rsid w:val="00002CA0"/>
    <w:rsid w:val="00003A58"/>
    <w:rsid w:val="00003BCE"/>
    <w:rsid w:val="00004712"/>
    <w:rsid w:val="00004D0A"/>
    <w:rsid w:val="00005CAF"/>
    <w:rsid w:val="000061A1"/>
    <w:rsid w:val="00006E8A"/>
    <w:rsid w:val="00006EAE"/>
    <w:rsid w:val="00006FD0"/>
    <w:rsid w:val="0000763E"/>
    <w:rsid w:val="000079D2"/>
    <w:rsid w:val="00007B1F"/>
    <w:rsid w:val="00007D5C"/>
    <w:rsid w:val="00007DA5"/>
    <w:rsid w:val="00007F53"/>
    <w:rsid w:val="0001023B"/>
    <w:rsid w:val="000111EF"/>
    <w:rsid w:val="000112C6"/>
    <w:rsid w:val="00011A53"/>
    <w:rsid w:val="00011DAB"/>
    <w:rsid w:val="00011DC9"/>
    <w:rsid w:val="00011DED"/>
    <w:rsid w:val="00012257"/>
    <w:rsid w:val="00012305"/>
    <w:rsid w:val="000125A3"/>
    <w:rsid w:val="00012A09"/>
    <w:rsid w:val="0001310D"/>
    <w:rsid w:val="0001329B"/>
    <w:rsid w:val="00013878"/>
    <w:rsid w:val="00014488"/>
    <w:rsid w:val="000145AD"/>
    <w:rsid w:val="00014B52"/>
    <w:rsid w:val="00015660"/>
    <w:rsid w:val="00016161"/>
    <w:rsid w:val="00016D4A"/>
    <w:rsid w:val="00016D76"/>
    <w:rsid w:val="00017019"/>
    <w:rsid w:val="00017228"/>
    <w:rsid w:val="000172E0"/>
    <w:rsid w:val="0001792D"/>
    <w:rsid w:val="00017B0D"/>
    <w:rsid w:val="00020CB1"/>
    <w:rsid w:val="00020ECD"/>
    <w:rsid w:val="00021663"/>
    <w:rsid w:val="00021A72"/>
    <w:rsid w:val="0002310A"/>
    <w:rsid w:val="00023C84"/>
    <w:rsid w:val="0002488D"/>
    <w:rsid w:val="00024E1E"/>
    <w:rsid w:val="00025071"/>
    <w:rsid w:val="000250C7"/>
    <w:rsid w:val="00025A9C"/>
    <w:rsid w:val="00025BD1"/>
    <w:rsid w:val="00025C08"/>
    <w:rsid w:val="00025C1F"/>
    <w:rsid w:val="00025E7D"/>
    <w:rsid w:val="00026578"/>
    <w:rsid w:val="000265C1"/>
    <w:rsid w:val="00026B46"/>
    <w:rsid w:val="00027878"/>
    <w:rsid w:val="00030212"/>
    <w:rsid w:val="000305BC"/>
    <w:rsid w:val="0003066B"/>
    <w:rsid w:val="00030878"/>
    <w:rsid w:val="00030BC1"/>
    <w:rsid w:val="00031496"/>
    <w:rsid w:val="00031B4A"/>
    <w:rsid w:val="00031C2B"/>
    <w:rsid w:val="00032674"/>
    <w:rsid w:val="000327E9"/>
    <w:rsid w:val="000328A3"/>
    <w:rsid w:val="000328DC"/>
    <w:rsid w:val="000329FF"/>
    <w:rsid w:val="00032A58"/>
    <w:rsid w:val="0003301B"/>
    <w:rsid w:val="000330C3"/>
    <w:rsid w:val="0003332F"/>
    <w:rsid w:val="00033592"/>
    <w:rsid w:val="00033EBB"/>
    <w:rsid w:val="00033F01"/>
    <w:rsid w:val="00033F33"/>
    <w:rsid w:val="00034977"/>
    <w:rsid w:val="00034BE6"/>
    <w:rsid w:val="00034C2F"/>
    <w:rsid w:val="00034C33"/>
    <w:rsid w:val="00035849"/>
    <w:rsid w:val="00035CF6"/>
    <w:rsid w:val="000364A1"/>
    <w:rsid w:val="00036BC8"/>
    <w:rsid w:val="00036E56"/>
    <w:rsid w:val="000372E3"/>
    <w:rsid w:val="0003754F"/>
    <w:rsid w:val="000376EE"/>
    <w:rsid w:val="00037737"/>
    <w:rsid w:val="00037BBE"/>
    <w:rsid w:val="00040411"/>
    <w:rsid w:val="000404F9"/>
    <w:rsid w:val="000405B0"/>
    <w:rsid w:val="0004071F"/>
    <w:rsid w:val="00040AB2"/>
    <w:rsid w:val="0004280D"/>
    <w:rsid w:val="00042B2F"/>
    <w:rsid w:val="00042BB7"/>
    <w:rsid w:val="00042C1C"/>
    <w:rsid w:val="00042D6E"/>
    <w:rsid w:val="0004309E"/>
    <w:rsid w:val="0004328A"/>
    <w:rsid w:val="000438A2"/>
    <w:rsid w:val="00043E87"/>
    <w:rsid w:val="00044668"/>
    <w:rsid w:val="00044CA9"/>
    <w:rsid w:val="00044D23"/>
    <w:rsid w:val="000455B1"/>
    <w:rsid w:val="000456AD"/>
    <w:rsid w:val="000457F3"/>
    <w:rsid w:val="00045C8E"/>
    <w:rsid w:val="00046915"/>
    <w:rsid w:val="0004705D"/>
    <w:rsid w:val="000470E2"/>
    <w:rsid w:val="00047ABA"/>
    <w:rsid w:val="00047EDB"/>
    <w:rsid w:val="00047F46"/>
    <w:rsid w:val="0005005B"/>
    <w:rsid w:val="0005006D"/>
    <w:rsid w:val="00050373"/>
    <w:rsid w:val="0005051A"/>
    <w:rsid w:val="0005082F"/>
    <w:rsid w:val="00050A77"/>
    <w:rsid w:val="00051D24"/>
    <w:rsid w:val="00052B1D"/>
    <w:rsid w:val="00052C37"/>
    <w:rsid w:val="00053203"/>
    <w:rsid w:val="00053EBD"/>
    <w:rsid w:val="000540E0"/>
    <w:rsid w:val="000541F2"/>
    <w:rsid w:val="000551B8"/>
    <w:rsid w:val="0005648C"/>
    <w:rsid w:val="00056825"/>
    <w:rsid w:val="000568E5"/>
    <w:rsid w:val="000569D2"/>
    <w:rsid w:val="0005737E"/>
    <w:rsid w:val="000600A3"/>
    <w:rsid w:val="000608BD"/>
    <w:rsid w:val="000609D1"/>
    <w:rsid w:val="00061322"/>
    <w:rsid w:val="000614E8"/>
    <w:rsid w:val="00061891"/>
    <w:rsid w:val="00061D98"/>
    <w:rsid w:val="00061FEC"/>
    <w:rsid w:val="00062298"/>
    <w:rsid w:val="00062680"/>
    <w:rsid w:val="000628DD"/>
    <w:rsid w:val="000629F4"/>
    <w:rsid w:val="000630B7"/>
    <w:rsid w:val="000633EE"/>
    <w:rsid w:val="00063479"/>
    <w:rsid w:val="0006377D"/>
    <w:rsid w:val="00063A45"/>
    <w:rsid w:val="0006418E"/>
    <w:rsid w:val="0006442F"/>
    <w:rsid w:val="00064CF5"/>
    <w:rsid w:val="00065303"/>
    <w:rsid w:val="00065560"/>
    <w:rsid w:val="00065B7A"/>
    <w:rsid w:val="0006647F"/>
    <w:rsid w:val="000667E8"/>
    <w:rsid w:val="00066956"/>
    <w:rsid w:val="00066D27"/>
    <w:rsid w:val="000675EC"/>
    <w:rsid w:val="00067617"/>
    <w:rsid w:val="0007011D"/>
    <w:rsid w:val="000706F7"/>
    <w:rsid w:val="0007074C"/>
    <w:rsid w:val="00070F88"/>
    <w:rsid w:val="00071086"/>
    <w:rsid w:val="00071671"/>
    <w:rsid w:val="000716CD"/>
    <w:rsid w:val="000720EE"/>
    <w:rsid w:val="000724E5"/>
    <w:rsid w:val="000726F2"/>
    <w:rsid w:val="00072834"/>
    <w:rsid w:val="00072FB4"/>
    <w:rsid w:val="00072FE8"/>
    <w:rsid w:val="00073512"/>
    <w:rsid w:val="0007397C"/>
    <w:rsid w:val="00073B1F"/>
    <w:rsid w:val="00073C1A"/>
    <w:rsid w:val="00074537"/>
    <w:rsid w:val="00074B51"/>
    <w:rsid w:val="000750BE"/>
    <w:rsid w:val="00075306"/>
    <w:rsid w:val="000753AE"/>
    <w:rsid w:val="00075AB5"/>
    <w:rsid w:val="00075F68"/>
    <w:rsid w:val="000770A7"/>
    <w:rsid w:val="0007795C"/>
    <w:rsid w:val="00080029"/>
    <w:rsid w:val="0008077E"/>
    <w:rsid w:val="000807F0"/>
    <w:rsid w:val="000808B9"/>
    <w:rsid w:val="00080B6C"/>
    <w:rsid w:val="00080FDC"/>
    <w:rsid w:val="00081286"/>
    <w:rsid w:val="000812BF"/>
    <w:rsid w:val="000819C7"/>
    <w:rsid w:val="00082CB7"/>
    <w:rsid w:val="00082D43"/>
    <w:rsid w:val="000837F0"/>
    <w:rsid w:val="00083F4C"/>
    <w:rsid w:val="0008411F"/>
    <w:rsid w:val="00084175"/>
    <w:rsid w:val="00084A21"/>
    <w:rsid w:val="00084A29"/>
    <w:rsid w:val="00085100"/>
    <w:rsid w:val="0008578B"/>
    <w:rsid w:val="000858E5"/>
    <w:rsid w:val="000858E7"/>
    <w:rsid w:val="000859D0"/>
    <w:rsid w:val="00085BB4"/>
    <w:rsid w:val="00086861"/>
    <w:rsid w:val="00086A99"/>
    <w:rsid w:val="00086E50"/>
    <w:rsid w:val="000879AE"/>
    <w:rsid w:val="00090FDD"/>
    <w:rsid w:val="000910D0"/>
    <w:rsid w:val="0009184A"/>
    <w:rsid w:val="0009190C"/>
    <w:rsid w:val="00092050"/>
    <w:rsid w:val="0009243F"/>
    <w:rsid w:val="0009333A"/>
    <w:rsid w:val="0009333C"/>
    <w:rsid w:val="00093804"/>
    <w:rsid w:val="00093B17"/>
    <w:rsid w:val="00093B5C"/>
    <w:rsid w:val="00093C4E"/>
    <w:rsid w:val="00094733"/>
    <w:rsid w:val="00094B53"/>
    <w:rsid w:val="00095917"/>
    <w:rsid w:val="00095C88"/>
    <w:rsid w:val="00095CAD"/>
    <w:rsid w:val="00095FFE"/>
    <w:rsid w:val="000964F8"/>
    <w:rsid w:val="00096E76"/>
    <w:rsid w:val="00096ECE"/>
    <w:rsid w:val="0009718B"/>
    <w:rsid w:val="00097924"/>
    <w:rsid w:val="00097C79"/>
    <w:rsid w:val="00097D3C"/>
    <w:rsid w:val="000A0849"/>
    <w:rsid w:val="000A0B36"/>
    <w:rsid w:val="000A0D8D"/>
    <w:rsid w:val="000A1017"/>
    <w:rsid w:val="000A1359"/>
    <w:rsid w:val="000A1618"/>
    <w:rsid w:val="000A1D54"/>
    <w:rsid w:val="000A1D65"/>
    <w:rsid w:val="000A1DEA"/>
    <w:rsid w:val="000A2372"/>
    <w:rsid w:val="000A2420"/>
    <w:rsid w:val="000A2B9B"/>
    <w:rsid w:val="000A2D26"/>
    <w:rsid w:val="000A2F0F"/>
    <w:rsid w:val="000A312E"/>
    <w:rsid w:val="000A34A4"/>
    <w:rsid w:val="000A383A"/>
    <w:rsid w:val="000A4883"/>
    <w:rsid w:val="000A4A0A"/>
    <w:rsid w:val="000A4BAD"/>
    <w:rsid w:val="000A50B1"/>
    <w:rsid w:val="000A519F"/>
    <w:rsid w:val="000A56DC"/>
    <w:rsid w:val="000A57CB"/>
    <w:rsid w:val="000A5A37"/>
    <w:rsid w:val="000A5C47"/>
    <w:rsid w:val="000A6168"/>
    <w:rsid w:val="000A6448"/>
    <w:rsid w:val="000A64D6"/>
    <w:rsid w:val="000A6936"/>
    <w:rsid w:val="000A752E"/>
    <w:rsid w:val="000A7A44"/>
    <w:rsid w:val="000A7D37"/>
    <w:rsid w:val="000B0301"/>
    <w:rsid w:val="000B0AAA"/>
    <w:rsid w:val="000B0FE7"/>
    <w:rsid w:val="000B11A7"/>
    <w:rsid w:val="000B1C18"/>
    <w:rsid w:val="000B25D0"/>
    <w:rsid w:val="000B330E"/>
    <w:rsid w:val="000B33C0"/>
    <w:rsid w:val="000B37D3"/>
    <w:rsid w:val="000B3920"/>
    <w:rsid w:val="000B4176"/>
    <w:rsid w:val="000B4852"/>
    <w:rsid w:val="000B4B28"/>
    <w:rsid w:val="000B4C9D"/>
    <w:rsid w:val="000B5014"/>
    <w:rsid w:val="000B508A"/>
    <w:rsid w:val="000B5C52"/>
    <w:rsid w:val="000B6570"/>
    <w:rsid w:val="000B6607"/>
    <w:rsid w:val="000B6D9E"/>
    <w:rsid w:val="000B70A1"/>
    <w:rsid w:val="000B7391"/>
    <w:rsid w:val="000B7416"/>
    <w:rsid w:val="000B7BE3"/>
    <w:rsid w:val="000B7E30"/>
    <w:rsid w:val="000C019E"/>
    <w:rsid w:val="000C04FF"/>
    <w:rsid w:val="000C0685"/>
    <w:rsid w:val="000C0769"/>
    <w:rsid w:val="000C0DEC"/>
    <w:rsid w:val="000C14B0"/>
    <w:rsid w:val="000C14F4"/>
    <w:rsid w:val="000C23B9"/>
    <w:rsid w:val="000C29D7"/>
    <w:rsid w:val="000C2A46"/>
    <w:rsid w:val="000C2A8F"/>
    <w:rsid w:val="000C2E98"/>
    <w:rsid w:val="000C363F"/>
    <w:rsid w:val="000C427F"/>
    <w:rsid w:val="000C43D1"/>
    <w:rsid w:val="000C4C64"/>
    <w:rsid w:val="000C57E4"/>
    <w:rsid w:val="000C5B17"/>
    <w:rsid w:val="000C5DC1"/>
    <w:rsid w:val="000C5DDC"/>
    <w:rsid w:val="000C6153"/>
    <w:rsid w:val="000C617B"/>
    <w:rsid w:val="000C653E"/>
    <w:rsid w:val="000C677C"/>
    <w:rsid w:val="000C6BA9"/>
    <w:rsid w:val="000C6C2E"/>
    <w:rsid w:val="000C6CEB"/>
    <w:rsid w:val="000C6D24"/>
    <w:rsid w:val="000C6F6C"/>
    <w:rsid w:val="000C74DB"/>
    <w:rsid w:val="000C753A"/>
    <w:rsid w:val="000C7643"/>
    <w:rsid w:val="000C7C3B"/>
    <w:rsid w:val="000C7F97"/>
    <w:rsid w:val="000D0B00"/>
    <w:rsid w:val="000D136C"/>
    <w:rsid w:val="000D1594"/>
    <w:rsid w:val="000D1DF6"/>
    <w:rsid w:val="000D21A6"/>
    <w:rsid w:val="000D2501"/>
    <w:rsid w:val="000D2539"/>
    <w:rsid w:val="000D26F1"/>
    <w:rsid w:val="000D2A9C"/>
    <w:rsid w:val="000D2BAE"/>
    <w:rsid w:val="000D3125"/>
    <w:rsid w:val="000D32FC"/>
    <w:rsid w:val="000D3C5C"/>
    <w:rsid w:val="000D42C6"/>
    <w:rsid w:val="000D473D"/>
    <w:rsid w:val="000D506A"/>
    <w:rsid w:val="000D51AF"/>
    <w:rsid w:val="000D5F4F"/>
    <w:rsid w:val="000D63B6"/>
    <w:rsid w:val="000D63E7"/>
    <w:rsid w:val="000D66B2"/>
    <w:rsid w:val="000D672B"/>
    <w:rsid w:val="000D6892"/>
    <w:rsid w:val="000D6954"/>
    <w:rsid w:val="000D6F1E"/>
    <w:rsid w:val="000D7707"/>
    <w:rsid w:val="000D7749"/>
    <w:rsid w:val="000D799C"/>
    <w:rsid w:val="000D79B5"/>
    <w:rsid w:val="000D7AAB"/>
    <w:rsid w:val="000E0E12"/>
    <w:rsid w:val="000E110F"/>
    <w:rsid w:val="000E1A3B"/>
    <w:rsid w:val="000E20BA"/>
    <w:rsid w:val="000E2485"/>
    <w:rsid w:val="000E3067"/>
    <w:rsid w:val="000E30CF"/>
    <w:rsid w:val="000E31AA"/>
    <w:rsid w:val="000E3373"/>
    <w:rsid w:val="000E3823"/>
    <w:rsid w:val="000E42E4"/>
    <w:rsid w:val="000E4319"/>
    <w:rsid w:val="000E543C"/>
    <w:rsid w:val="000E5719"/>
    <w:rsid w:val="000E5FF0"/>
    <w:rsid w:val="000E6126"/>
    <w:rsid w:val="000E6429"/>
    <w:rsid w:val="000E6686"/>
    <w:rsid w:val="000E6C6B"/>
    <w:rsid w:val="000E7243"/>
    <w:rsid w:val="000E75B6"/>
    <w:rsid w:val="000E7FD7"/>
    <w:rsid w:val="000F0140"/>
    <w:rsid w:val="000F0636"/>
    <w:rsid w:val="000F0956"/>
    <w:rsid w:val="000F09BC"/>
    <w:rsid w:val="000F1546"/>
    <w:rsid w:val="000F18C0"/>
    <w:rsid w:val="000F1B5F"/>
    <w:rsid w:val="000F254E"/>
    <w:rsid w:val="000F274A"/>
    <w:rsid w:val="000F33E2"/>
    <w:rsid w:val="000F37A9"/>
    <w:rsid w:val="000F4245"/>
    <w:rsid w:val="000F42D6"/>
    <w:rsid w:val="000F4BB7"/>
    <w:rsid w:val="000F4CC6"/>
    <w:rsid w:val="000F5DF0"/>
    <w:rsid w:val="000F5F1E"/>
    <w:rsid w:val="000F6D0B"/>
    <w:rsid w:val="000F6D53"/>
    <w:rsid w:val="000F6E14"/>
    <w:rsid w:val="000F6F9E"/>
    <w:rsid w:val="000F71A8"/>
    <w:rsid w:val="000F7417"/>
    <w:rsid w:val="00100178"/>
    <w:rsid w:val="00100378"/>
    <w:rsid w:val="00100617"/>
    <w:rsid w:val="00101135"/>
    <w:rsid w:val="00101C80"/>
    <w:rsid w:val="00101F8D"/>
    <w:rsid w:val="00102C19"/>
    <w:rsid w:val="00102E60"/>
    <w:rsid w:val="001030D7"/>
    <w:rsid w:val="001034AE"/>
    <w:rsid w:val="001035D1"/>
    <w:rsid w:val="00103873"/>
    <w:rsid w:val="00103C95"/>
    <w:rsid w:val="00103F73"/>
    <w:rsid w:val="00104181"/>
    <w:rsid w:val="001044C2"/>
    <w:rsid w:val="00104E6B"/>
    <w:rsid w:val="00104E8F"/>
    <w:rsid w:val="00105031"/>
    <w:rsid w:val="001055A8"/>
    <w:rsid w:val="001064A0"/>
    <w:rsid w:val="001066FC"/>
    <w:rsid w:val="00106C26"/>
    <w:rsid w:val="00107912"/>
    <w:rsid w:val="00107D0C"/>
    <w:rsid w:val="0011011C"/>
    <w:rsid w:val="00110C4A"/>
    <w:rsid w:val="00110CE3"/>
    <w:rsid w:val="00111870"/>
    <w:rsid w:val="00111950"/>
    <w:rsid w:val="00111F66"/>
    <w:rsid w:val="001121D3"/>
    <w:rsid w:val="0011368E"/>
    <w:rsid w:val="00113FB1"/>
    <w:rsid w:val="00114059"/>
    <w:rsid w:val="00114828"/>
    <w:rsid w:val="00114BA2"/>
    <w:rsid w:val="0011506F"/>
    <w:rsid w:val="00115367"/>
    <w:rsid w:val="00115711"/>
    <w:rsid w:val="00115BC5"/>
    <w:rsid w:val="00116468"/>
    <w:rsid w:val="00116966"/>
    <w:rsid w:val="00116EB4"/>
    <w:rsid w:val="0011715E"/>
    <w:rsid w:val="00117DEA"/>
    <w:rsid w:val="00120170"/>
    <w:rsid w:val="001206F1"/>
    <w:rsid w:val="00122369"/>
    <w:rsid w:val="0012303C"/>
    <w:rsid w:val="0012319D"/>
    <w:rsid w:val="00123386"/>
    <w:rsid w:val="00123388"/>
    <w:rsid w:val="00124028"/>
    <w:rsid w:val="00124393"/>
    <w:rsid w:val="001244B9"/>
    <w:rsid w:val="001248DE"/>
    <w:rsid w:val="001249DD"/>
    <w:rsid w:val="00124D08"/>
    <w:rsid w:val="001250AC"/>
    <w:rsid w:val="00125141"/>
    <w:rsid w:val="0012573C"/>
    <w:rsid w:val="001258B9"/>
    <w:rsid w:val="00125FE2"/>
    <w:rsid w:val="00126119"/>
    <w:rsid w:val="001268D1"/>
    <w:rsid w:val="001279E3"/>
    <w:rsid w:val="00127A53"/>
    <w:rsid w:val="00127B3D"/>
    <w:rsid w:val="0013008E"/>
    <w:rsid w:val="00130A7E"/>
    <w:rsid w:val="00130C18"/>
    <w:rsid w:val="00131040"/>
    <w:rsid w:val="0013169B"/>
    <w:rsid w:val="001318F8"/>
    <w:rsid w:val="00131B35"/>
    <w:rsid w:val="00131BE4"/>
    <w:rsid w:val="00131C39"/>
    <w:rsid w:val="00131EEA"/>
    <w:rsid w:val="001324B0"/>
    <w:rsid w:val="00132CFA"/>
    <w:rsid w:val="00132F0E"/>
    <w:rsid w:val="00133B39"/>
    <w:rsid w:val="001350E9"/>
    <w:rsid w:val="00135302"/>
    <w:rsid w:val="001356DC"/>
    <w:rsid w:val="00136215"/>
    <w:rsid w:val="001369FF"/>
    <w:rsid w:val="00136B5B"/>
    <w:rsid w:val="00136C8B"/>
    <w:rsid w:val="001373CD"/>
    <w:rsid w:val="00137576"/>
    <w:rsid w:val="001376F0"/>
    <w:rsid w:val="00137728"/>
    <w:rsid w:val="00137C5B"/>
    <w:rsid w:val="00137D12"/>
    <w:rsid w:val="00140D70"/>
    <w:rsid w:val="00141B45"/>
    <w:rsid w:val="00141E80"/>
    <w:rsid w:val="001421DF"/>
    <w:rsid w:val="00142467"/>
    <w:rsid w:val="00142631"/>
    <w:rsid w:val="00143063"/>
    <w:rsid w:val="00143792"/>
    <w:rsid w:val="00144292"/>
    <w:rsid w:val="00144A5B"/>
    <w:rsid w:val="00144D3F"/>
    <w:rsid w:val="001450D9"/>
    <w:rsid w:val="001451D3"/>
    <w:rsid w:val="001454E9"/>
    <w:rsid w:val="00145EF8"/>
    <w:rsid w:val="001467DA"/>
    <w:rsid w:val="0014691B"/>
    <w:rsid w:val="0014721E"/>
    <w:rsid w:val="00147232"/>
    <w:rsid w:val="00147C62"/>
    <w:rsid w:val="00147F80"/>
    <w:rsid w:val="001504FD"/>
    <w:rsid w:val="00150B93"/>
    <w:rsid w:val="00150DC6"/>
    <w:rsid w:val="001516C6"/>
    <w:rsid w:val="001518C2"/>
    <w:rsid w:val="00152263"/>
    <w:rsid w:val="00152448"/>
    <w:rsid w:val="00152C6E"/>
    <w:rsid w:val="0015309B"/>
    <w:rsid w:val="001536B7"/>
    <w:rsid w:val="00153AC6"/>
    <w:rsid w:val="00154AD8"/>
    <w:rsid w:val="00155228"/>
    <w:rsid w:val="00155AD6"/>
    <w:rsid w:val="00156663"/>
    <w:rsid w:val="0015693C"/>
    <w:rsid w:val="00156BD5"/>
    <w:rsid w:val="00156DA3"/>
    <w:rsid w:val="00157080"/>
    <w:rsid w:val="00157112"/>
    <w:rsid w:val="00157235"/>
    <w:rsid w:val="00157285"/>
    <w:rsid w:val="001579D5"/>
    <w:rsid w:val="001579EE"/>
    <w:rsid w:val="00157D18"/>
    <w:rsid w:val="0016029D"/>
    <w:rsid w:val="00160515"/>
    <w:rsid w:val="001605A5"/>
    <w:rsid w:val="00161566"/>
    <w:rsid w:val="0016157A"/>
    <w:rsid w:val="00161ACD"/>
    <w:rsid w:val="00161F65"/>
    <w:rsid w:val="001626D4"/>
    <w:rsid w:val="00162F0E"/>
    <w:rsid w:val="00163489"/>
    <w:rsid w:val="001639C4"/>
    <w:rsid w:val="00163A14"/>
    <w:rsid w:val="00163AA6"/>
    <w:rsid w:val="00163AB0"/>
    <w:rsid w:val="001644B5"/>
    <w:rsid w:val="001646AF"/>
    <w:rsid w:val="00164A46"/>
    <w:rsid w:val="001651AF"/>
    <w:rsid w:val="001656CB"/>
    <w:rsid w:val="00165722"/>
    <w:rsid w:val="00165B35"/>
    <w:rsid w:val="00165C10"/>
    <w:rsid w:val="00165C3A"/>
    <w:rsid w:val="00165C56"/>
    <w:rsid w:val="0016645D"/>
    <w:rsid w:val="00166726"/>
    <w:rsid w:val="00166837"/>
    <w:rsid w:val="00166959"/>
    <w:rsid w:val="00166A77"/>
    <w:rsid w:val="00166BE5"/>
    <w:rsid w:val="00166E14"/>
    <w:rsid w:val="00166E39"/>
    <w:rsid w:val="001676B8"/>
    <w:rsid w:val="00167A28"/>
    <w:rsid w:val="00167AFF"/>
    <w:rsid w:val="00170BCF"/>
    <w:rsid w:val="00170E46"/>
    <w:rsid w:val="0017145B"/>
    <w:rsid w:val="0017176B"/>
    <w:rsid w:val="00171789"/>
    <w:rsid w:val="001717D3"/>
    <w:rsid w:val="00171B8F"/>
    <w:rsid w:val="00171F41"/>
    <w:rsid w:val="0017224B"/>
    <w:rsid w:val="001729FD"/>
    <w:rsid w:val="00172F20"/>
    <w:rsid w:val="00173305"/>
    <w:rsid w:val="001734F8"/>
    <w:rsid w:val="00173806"/>
    <w:rsid w:val="0017413A"/>
    <w:rsid w:val="001744BE"/>
    <w:rsid w:val="0017487E"/>
    <w:rsid w:val="00174953"/>
    <w:rsid w:val="00174C46"/>
    <w:rsid w:val="001752D1"/>
    <w:rsid w:val="00175371"/>
    <w:rsid w:val="001753B2"/>
    <w:rsid w:val="00175929"/>
    <w:rsid w:val="00176027"/>
    <w:rsid w:val="00176330"/>
    <w:rsid w:val="00176DDE"/>
    <w:rsid w:val="0017756D"/>
    <w:rsid w:val="001775B7"/>
    <w:rsid w:val="00177CEE"/>
    <w:rsid w:val="00180713"/>
    <w:rsid w:val="00180A69"/>
    <w:rsid w:val="00181246"/>
    <w:rsid w:val="001818B6"/>
    <w:rsid w:val="001824A1"/>
    <w:rsid w:val="00182535"/>
    <w:rsid w:val="00182746"/>
    <w:rsid w:val="001827FF"/>
    <w:rsid w:val="001835F0"/>
    <w:rsid w:val="0018364A"/>
    <w:rsid w:val="00183E68"/>
    <w:rsid w:val="00184A08"/>
    <w:rsid w:val="00184E2E"/>
    <w:rsid w:val="00185054"/>
    <w:rsid w:val="00185408"/>
    <w:rsid w:val="00185A1A"/>
    <w:rsid w:val="00185C57"/>
    <w:rsid w:val="00185C80"/>
    <w:rsid w:val="00185D32"/>
    <w:rsid w:val="00185F15"/>
    <w:rsid w:val="001863CE"/>
    <w:rsid w:val="0018642F"/>
    <w:rsid w:val="001865B0"/>
    <w:rsid w:val="001867C6"/>
    <w:rsid w:val="00186904"/>
    <w:rsid w:val="00187236"/>
    <w:rsid w:val="00187283"/>
    <w:rsid w:val="0018745A"/>
    <w:rsid w:val="001877D1"/>
    <w:rsid w:val="00187C55"/>
    <w:rsid w:val="001909CB"/>
    <w:rsid w:val="00190D51"/>
    <w:rsid w:val="00191164"/>
    <w:rsid w:val="0019155D"/>
    <w:rsid w:val="00191C23"/>
    <w:rsid w:val="00191F8B"/>
    <w:rsid w:val="001920D7"/>
    <w:rsid w:val="001922C5"/>
    <w:rsid w:val="00192448"/>
    <w:rsid w:val="0019275D"/>
    <w:rsid w:val="00193B51"/>
    <w:rsid w:val="001943D0"/>
    <w:rsid w:val="00194780"/>
    <w:rsid w:val="0019478B"/>
    <w:rsid w:val="00194C04"/>
    <w:rsid w:val="00195959"/>
    <w:rsid w:val="00196122"/>
    <w:rsid w:val="00196422"/>
    <w:rsid w:val="001967BC"/>
    <w:rsid w:val="001967C9"/>
    <w:rsid w:val="00196F7B"/>
    <w:rsid w:val="0019707C"/>
    <w:rsid w:val="001971ED"/>
    <w:rsid w:val="00197D42"/>
    <w:rsid w:val="001A044B"/>
    <w:rsid w:val="001A0B53"/>
    <w:rsid w:val="001A0C61"/>
    <w:rsid w:val="001A0C7F"/>
    <w:rsid w:val="001A0DFF"/>
    <w:rsid w:val="001A0EA7"/>
    <w:rsid w:val="001A0EBB"/>
    <w:rsid w:val="001A1164"/>
    <w:rsid w:val="001A1D50"/>
    <w:rsid w:val="001A278B"/>
    <w:rsid w:val="001A29F8"/>
    <w:rsid w:val="001A2CC4"/>
    <w:rsid w:val="001A2FB3"/>
    <w:rsid w:val="001A3119"/>
    <w:rsid w:val="001A35CA"/>
    <w:rsid w:val="001A3E4D"/>
    <w:rsid w:val="001A4387"/>
    <w:rsid w:val="001A4932"/>
    <w:rsid w:val="001A4B7B"/>
    <w:rsid w:val="001A4BFB"/>
    <w:rsid w:val="001A4D5F"/>
    <w:rsid w:val="001A4E70"/>
    <w:rsid w:val="001A562D"/>
    <w:rsid w:val="001A5AB0"/>
    <w:rsid w:val="001A5CA6"/>
    <w:rsid w:val="001A5E43"/>
    <w:rsid w:val="001A6981"/>
    <w:rsid w:val="001A7705"/>
    <w:rsid w:val="001A7DEC"/>
    <w:rsid w:val="001B00FE"/>
    <w:rsid w:val="001B01C7"/>
    <w:rsid w:val="001B0A6F"/>
    <w:rsid w:val="001B1009"/>
    <w:rsid w:val="001B1157"/>
    <w:rsid w:val="001B1B1D"/>
    <w:rsid w:val="001B2044"/>
    <w:rsid w:val="001B20B2"/>
    <w:rsid w:val="001B2307"/>
    <w:rsid w:val="001B2474"/>
    <w:rsid w:val="001B2685"/>
    <w:rsid w:val="001B339B"/>
    <w:rsid w:val="001B3642"/>
    <w:rsid w:val="001B3F67"/>
    <w:rsid w:val="001B3FDC"/>
    <w:rsid w:val="001B4153"/>
    <w:rsid w:val="001B4572"/>
    <w:rsid w:val="001B4902"/>
    <w:rsid w:val="001B4C37"/>
    <w:rsid w:val="001B5095"/>
    <w:rsid w:val="001B539A"/>
    <w:rsid w:val="001B5431"/>
    <w:rsid w:val="001B54B9"/>
    <w:rsid w:val="001B5557"/>
    <w:rsid w:val="001B62CF"/>
    <w:rsid w:val="001B641E"/>
    <w:rsid w:val="001B6534"/>
    <w:rsid w:val="001B65BF"/>
    <w:rsid w:val="001B6841"/>
    <w:rsid w:val="001B690C"/>
    <w:rsid w:val="001B6CCD"/>
    <w:rsid w:val="001B701E"/>
    <w:rsid w:val="001C024C"/>
    <w:rsid w:val="001C039C"/>
    <w:rsid w:val="001C04E7"/>
    <w:rsid w:val="001C051A"/>
    <w:rsid w:val="001C0603"/>
    <w:rsid w:val="001C223D"/>
    <w:rsid w:val="001C2641"/>
    <w:rsid w:val="001C29D1"/>
    <w:rsid w:val="001C3020"/>
    <w:rsid w:val="001C313E"/>
    <w:rsid w:val="001C3383"/>
    <w:rsid w:val="001C3711"/>
    <w:rsid w:val="001C38F4"/>
    <w:rsid w:val="001C3CE9"/>
    <w:rsid w:val="001C4078"/>
    <w:rsid w:val="001C443C"/>
    <w:rsid w:val="001C48D8"/>
    <w:rsid w:val="001C5267"/>
    <w:rsid w:val="001C526C"/>
    <w:rsid w:val="001C6346"/>
    <w:rsid w:val="001C635A"/>
    <w:rsid w:val="001C6A12"/>
    <w:rsid w:val="001C6F1F"/>
    <w:rsid w:val="001C70DA"/>
    <w:rsid w:val="001C71D7"/>
    <w:rsid w:val="001C73AE"/>
    <w:rsid w:val="001C791D"/>
    <w:rsid w:val="001C7B15"/>
    <w:rsid w:val="001C7CEC"/>
    <w:rsid w:val="001D0417"/>
    <w:rsid w:val="001D05CE"/>
    <w:rsid w:val="001D0EA9"/>
    <w:rsid w:val="001D1803"/>
    <w:rsid w:val="001D1858"/>
    <w:rsid w:val="001D1B66"/>
    <w:rsid w:val="001D1D8B"/>
    <w:rsid w:val="001D236E"/>
    <w:rsid w:val="001D269F"/>
    <w:rsid w:val="001D2DE6"/>
    <w:rsid w:val="001D52A4"/>
    <w:rsid w:val="001D5458"/>
    <w:rsid w:val="001D5D64"/>
    <w:rsid w:val="001D6062"/>
    <w:rsid w:val="001D6618"/>
    <w:rsid w:val="001D6787"/>
    <w:rsid w:val="001D7798"/>
    <w:rsid w:val="001E056E"/>
    <w:rsid w:val="001E0FB9"/>
    <w:rsid w:val="001E12A3"/>
    <w:rsid w:val="001E13C8"/>
    <w:rsid w:val="001E1479"/>
    <w:rsid w:val="001E180C"/>
    <w:rsid w:val="001E1817"/>
    <w:rsid w:val="001E19B7"/>
    <w:rsid w:val="001E1D2E"/>
    <w:rsid w:val="001E25C1"/>
    <w:rsid w:val="001E28A9"/>
    <w:rsid w:val="001E2E96"/>
    <w:rsid w:val="001E3260"/>
    <w:rsid w:val="001E3305"/>
    <w:rsid w:val="001E3577"/>
    <w:rsid w:val="001E3ADB"/>
    <w:rsid w:val="001E3EB6"/>
    <w:rsid w:val="001E3F37"/>
    <w:rsid w:val="001E4ABC"/>
    <w:rsid w:val="001E4C73"/>
    <w:rsid w:val="001E4E34"/>
    <w:rsid w:val="001E555D"/>
    <w:rsid w:val="001E5692"/>
    <w:rsid w:val="001E57EC"/>
    <w:rsid w:val="001E6422"/>
    <w:rsid w:val="001E6877"/>
    <w:rsid w:val="001E6A4C"/>
    <w:rsid w:val="001E6D88"/>
    <w:rsid w:val="001E7492"/>
    <w:rsid w:val="001E7573"/>
    <w:rsid w:val="001E759A"/>
    <w:rsid w:val="001F0929"/>
    <w:rsid w:val="001F0D68"/>
    <w:rsid w:val="001F11AF"/>
    <w:rsid w:val="001F26BD"/>
    <w:rsid w:val="001F27F0"/>
    <w:rsid w:val="001F2960"/>
    <w:rsid w:val="001F2CC6"/>
    <w:rsid w:val="001F3E26"/>
    <w:rsid w:val="001F4257"/>
    <w:rsid w:val="001F4E2D"/>
    <w:rsid w:val="001F4FCA"/>
    <w:rsid w:val="001F5DD3"/>
    <w:rsid w:val="001F60F3"/>
    <w:rsid w:val="001F60F7"/>
    <w:rsid w:val="001F61FB"/>
    <w:rsid w:val="001F7581"/>
    <w:rsid w:val="001F7B44"/>
    <w:rsid w:val="002003E7"/>
    <w:rsid w:val="002009AF"/>
    <w:rsid w:val="00200F12"/>
    <w:rsid w:val="0020183C"/>
    <w:rsid w:val="002019B6"/>
    <w:rsid w:val="002021EF"/>
    <w:rsid w:val="00202E09"/>
    <w:rsid w:val="00203081"/>
    <w:rsid w:val="002033E4"/>
    <w:rsid w:val="002035AC"/>
    <w:rsid w:val="00203A4F"/>
    <w:rsid w:val="00203A6D"/>
    <w:rsid w:val="00203BC0"/>
    <w:rsid w:val="0020408B"/>
    <w:rsid w:val="002041DE"/>
    <w:rsid w:val="002046AA"/>
    <w:rsid w:val="00204942"/>
    <w:rsid w:val="00204A8E"/>
    <w:rsid w:val="002057B6"/>
    <w:rsid w:val="00205B44"/>
    <w:rsid w:val="00205FF8"/>
    <w:rsid w:val="002062E8"/>
    <w:rsid w:val="00206585"/>
    <w:rsid w:val="00206CDA"/>
    <w:rsid w:val="0020711A"/>
    <w:rsid w:val="00207B2A"/>
    <w:rsid w:val="002102FC"/>
    <w:rsid w:val="00210741"/>
    <w:rsid w:val="00210A68"/>
    <w:rsid w:val="00210EAD"/>
    <w:rsid w:val="00210FB9"/>
    <w:rsid w:val="0021123E"/>
    <w:rsid w:val="00211427"/>
    <w:rsid w:val="002119B6"/>
    <w:rsid w:val="00211C19"/>
    <w:rsid w:val="0021231F"/>
    <w:rsid w:val="002134C2"/>
    <w:rsid w:val="00213687"/>
    <w:rsid w:val="002141C7"/>
    <w:rsid w:val="0021428B"/>
    <w:rsid w:val="0021531A"/>
    <w:rsid w:val="00215826"/>
    <w:rsid w:val="0021624F"/>
    <w:rsid w:val="002162F6"/>
    <w:rsid w:val="00217207"/>
    <w:rsid w:val="0021735D"/>
    <w:rsid w:val="00217531"/>
    <w:rsid w:val="002177FA"/>
    <w:rsid w:val="0022018D"/>
    <w:rsid w:val="0022062E"/>
    <w:rsid w:val="00220BCD"/>
    <w:rsid w:val="00221532"/>
    <w:rsid w:val="00221BA5"/>
    <w:rsid w:val="00221F45"/>
    <w:rsid w:val="002221BC"/>
    <w:rsid w:val="00222315"/>
    <w:rsid w:val="002227B7"/>
    <w:rsid w:val="00222882"/>
    <w:rsid w:val="002229F3"/>
    <w:rsid w:val="00222C1D"/>
    <w:rsid w:val="0022315B"/>
    <w:rsid w:val="00223401"/>
    <w:rsid w:val="00223C89"/>
    <w:rsid w:val="0022402B"/>
    <w:rsid w:val="0022455F"/>
    <w:rsid w:val="002247B8"/>
    <w:rsid w:val="00224993"/>
    <w:rsid w:val="002249B4"/>
    <w:rsid w:val="00224A8A"/>
    <w:rsid w:val="00225059"/>
    <w:rsid w:val="0022581B"/>
    <w:rsid w:val="00225A67"/>
    <w:rsid w:val="00225E39"/>
    <w:rsid w:val="00225E3B"/>
    <w:rsid w:val="00225E5F"/>
    <w:rsid w:val="00226A78"/>
    <w:rsid w:val="00226E65"/>
    <w:rsid w:val="00226F3E"/>
    <w:rsid w:val="00227C54"/>
    <w:rsid w:val="0023001E"/>
    <w:rsid w:val="002302F4"/>
    <w:rsid w:val="00230571"/>
    <w:rsid w:val="0023069F"/>
    <w:rsid w:val="002309EB"/>
    <w:rsid w:val="0023110A"/>
    <w:rsid w:val="002312EA"/>
    <w:rsid w:val="00231502"/>
    <w:rsid w:val="00231A5B"/>
    <w:rsid w:val="0023229A"/>
    <w:rsid w:val="00233327"/>
    <w:rsid w:val="002336F9"/>
    <w:rsid w:val="00233BEE"/>
    <w:rsid w:val="00233C1B"/>
    <w:rsid w:val="00233D68"/>
    <w:rsid w:val="0023400D"/>
    <w:rsid w:val="00234563"/>
    <w:rsid w:val="002346B8"/>
    <w:rsid w:val="0023524C"/>
    <w:rsid w:val="00235691"/>
    <w:rsid w:val="00235D45"/>
    <w:rsid w:val="002369A8"/>
    <w:rsid w:val="00236D12"/>
    <w:rsid w:val="00236DC6"/>
    <w:rsid w:val="002371C5"/>
    <w:rsid w:val="002372A8"/>
    <w:rsid w:val="002374A8"/>
    <w:rsid w:val="0023761F"/>
    <w:rsid w:val="00237ADB"/>
    <w:rsid w:val="00240221"/>
    <w:rsid w:val="0024083C"/>
    <w:rsid w:val="00240B1E"/>
    <w:rsid w:val="00240B68"/>
    <w:rsid w:val="00240EA5"/>
    <w:rsid w:val="00241397"/>
    <w:rsid w:val="0024139D"/>
    <w:rsid w:val="00241C88"/>
    <w:rsid w:val="002422C2"/>
    <w:rsid w:val="002427A8"/>
    <w:rsid w:val="00242B7F"/>
    <w:rsid w:val="00243120"/>
    <w:rsid w:val="0024330F"/>
    <w:rsid w:val="00244390"/>
    <w:rsid w:val="00244614"/>
    <w:rsid w:val="0024540E"/>
    <w:rsid w:val="002454D8"/>
    <w:rsid w:val="00245C42"/>
    <w:rsid w:val="00245D7F"/>
    <w:rsid w:val="00245FF4"/>
    <w:rsid w:val="00246140"/>
    <w:rsid w:val="00246158"/>
    <w:rsid w:val="00246EF0"/>
    <w:rsid w:val="00246F4E"/>
    <w:rsid w:val="00246F69"/>
    <w:rsid w:val="002471AA"/>
    <w:rsid w:val="00247541"/>
    <w:rsid w:val="002475E6"/>
    <w:rsid w:val="00247651"/>
    <w:rsid w:val="002476C5"/>
    <w:rsid w:val="00247DAE"/>
    <w:rsid w:val="00250BAC"/>
    <w:rsid w:val="00251FE3"/>
    <w:rsid w:val="00251FFF"/>
    <w:rsid w:val="00252499"/>
    <w:rsid w:val="0025250B"/>
    <w:rsid w:val="00252A87"/>
    <w:rsid w:val="00252B1B"/>
    <w:rsid w:val="0025326A"/>
    <w:rsid w:val="002536AE"/>
    <w:rsid w:val="002538CF"/>
    <w:rsid w:val="00253B72"/>
    <w:rsid w:val="00254711"/>
    <w:rsid w:val="00254CFD"/>
    <w:rsid w:val="00254DE3"/>
    <w:rsid w:val="00254E00"/>
    <w:rsid w:val="0025501B"/>
    <w:rsid w:val="002557AC"/>
    <w:rsid w:val="002558E8"/>
    <w:rsid w:val="00255C09"/>
    <w:rsid w:val="00256087"/>
    <w:rsid w:val="002561D8"/>
    <w:rsid w:val="0025622F"/>
    <w:rsid w:val="00256271"/>
    <w:rsid w:val="0025700C"/>
    <w:rsid w:val="00257349"/>
    <w:rsid w:val="00257A5D"/>
    <w:rsid w:val="00257D50"/>
    <w:rsid w:val="00257E8D"/>
    <w:rsid w:val="00260473"/>
    <w:rsid w:val="00260558"/>
    <w:rsid w:val="00260662"/>
    <w:rsid w:val="00260960"/>
    <w:rsid w:val="00260C5C"/>
    <w:rsid w:val="00260CAA"/>
    <w:rsid w:val="00260D57"/>
    <w:rsid w:val="00261010"/>
    <w:rsid w:val="00261123"/>
    <w:rsid w:val="0026127C"/>
    <w:rsid w:val="0026177E"/>
    <w:rsid w:val="00261D9D"/>
    <w:rsid w:val="002628AA"/>
    <w:rsid w:val="00263888"/>
    <w:rsid w:val="00263978"/>
    <w:rsid w:val="00263F74"/>
    <w:rsid w:val="00264548"/>
    <w:rsid w:val="00264CA9"/>
    <w:rsid w:val="0026504B"/>
    <w:rsid w:val="00265505"/>
    <w:rsid w:val="00265A63"/>
    <w:rsid w:val="00265C38"/>
    <w:rsid w:val="0026678E"/>
    <w:rsid w:val="002669BB"/>
    <w:rsid w:val="0026729A"/>
    <w:rsid w:val="00267400"/>
    <w:rsid w:val="00267B58"/>
    <w:rsid w:val="00267C34"/>
    <w:rsid w:val="00267E51"/>
    <w:rsid w:val="0027088B"/>
    <w:rsid w:val="002708B9"/>
    <w:rsid w:val="00270AC7"/>
    <w:rsid w:val="00270B70"/>
    <w:rsid w:val="00270CC5"/>
    <w:rsid w:val="00270E14"/>
    <w:rsid w:val="0027176D"/>
    <w:rsid w:val="00271A14"/>
    <w:rsid w:val="002722B7"/>
    <w:rsid w:val="002728DC"/>
    <w:rsid w:val="00273236"/>
    <w:rsid w:val="002732BB"/>
    <w:rsid w:val="00273B85"/>
    <w:rsid w:val="002745E8"/>
    <w:rsid w:val="00274811"/>
    <w:rsid w:val="00274A2F"/>
    <w:rsid w:val="00274A81"/>
    <w:rsid w:val="00274AF7"/>
    <w:rsid w:val="00275077"/>
    <w:rsid w:val="0027532A"/>
    <w:rsid w:val="00275446"/>
    <w:rsid w:val="00275479"/>
    <w:rsid w:val="00275EFF"/>
    <w:rsid w:val="0027610D"/>
    <w:rsid w:val="00276B73"/>
    <w:rsid w:val="00276C11"/>
    <w:rsid w:val="00276D66"/>
    <w:rsid w:val="002772DF"/>
    <w:rsid w:val="00277851"/>
    <w:rsid w:val="00280D62"/>
    <w:rsid w:val="00280F18"/>
    <w:rsid w:val="00281D62"/>
    <w:rsid w:val="002844CB"/>
    <w:rsid w:val="00284EDB"/>
    <w:rsid w:val="00285405"/>
    <w:rsid w:val="002855D8"/>
    <w:rsid w:val="0028569B"/>
    <w:rsid w:val="00285B08"/>
    <w:rsid w:val="00285D2C"/>
    <w:rsid w:val="00285DFD"/>
    <w:rsid w:val="002861FB"/>
    <w:rsid w:val="00286380"/>
    <w:rsid w:val="00286444"/>
    <w:rsid w:val="00286C0E"/>
    <w:rsid w:val="0028756D"/>
    <w:rsid w:val="00287590"/>
    <w:rsid w:val="002877DC"/>
    <w:rsid w:val="00287A54"/>
    <w:rsid w:val="00287F22"/>
    <w:rsid w:val="002903CB"/>
    <w:rsid w:val="00290450"/>
    <w:rsid w:val="00290466"/>
    <w:rsid w:val="00290D25"/>
    <w:rsid w:val="00290EDE"/>
    <w:rsid w:val="00290FBE"/>
    <w:rsid w:val="002910F2"/>
    <w:rsid w:val="0029111E"/>
    <w:rsid w:val="00291244"/>
    <w:rsid w:val="002914AE"/>
    <w:rsid w:val="002916D0"/>
    <w:rsid w:val="00291EB9"/>
    <w:rsid w:val="0029201D"/>
    <w:rsid w:val="00292718"/>
    <w:rsid w:val="00292774"/>
    <w:rsid w:val="00292CA6"/>
    <w:rsid w:val="00292F1E"/>
    <w:rsid w:val="00293192"/>
    <w:rsid w:val="002931C8"/>
    <w:rsid w:val="00293669"/>
    <w:rsid w:val="00293832"/>
    <w:rsid w:val="00294E65"/>
    <w:rsid w:val="00295243"/>
    <w:rsid w:val="0029562D"/>
    <w:rsid w:val="00295B79"/>
    <w:rsid w:val="00296255"/>
    <w:rsid w:val="002962B4"/>
    <w:rsid w:val="00296A36"/>
    <w:rsid w:val="00296AF9"/>
    <w:rsid w:val="00296EB5"/>
    <w:rsid w:val="002972E9"/>
    <w:rsid w:val="002973C9"/>
    <w:rsid w:val="002978B1"/>
    <w:rsid w:val="002A049B"/>
    <w:rsid w:val="002A054D"/>
    <w:rsid w:val="002A14F1"/>
    <w:rsid w:val="002A17A8"/>
    <w:rsid w:val="002A21D9"/>
    <w:rsid w:val="002A2DA3"/>
    <w:rsid w:val="002A33A9"/>
    <w:rsid w:val="002A3637"/>
    <w:rsid w:val="002A3AAA"/>
    <w:rsid w:val="002A3E32"/>
    <w:rsid w:val="002A4950"/>
    <w:rsid w:val="002A4FBA"/>
    <w:rsid w:val="002A5E87"/>
    <w:rsid w:val="002A6189"/>
    <w:rsid w:val="002A6711"/>
    <w:rsid w:val="002A6CA5"/>
    <w:rsid w:val="002A6E88"/>
    <w:rsid w:val="002A7722"/>
    <w:rsid w:val="002A7AAD"/>
    <w:rsid w:val="002A7B6F"/>
    <w:rsid w:val="002B08DD"/>
    <w:rsid w:val="002B11A0"/>
    <w:rsid w:val="002B166C"/>
    <w:rsid w:val="002B1C24"/>
    <w:rsid w:val="002B1E38"/>
    <w:rsid w:val="002B1F15"/>
    <w:rsid w:val="002B20C9"/>
    <w:rsid w:val="002B219B"/>
    <w:rsid w:val="002B2389"/>
    <w:rsid w:val="002B23A6"/>
    <w:rsid w:val="002B275D"/>
    <w:rsid w:val="002B2D24"/>
    <w:rsid w:val="002B3512"/>
    <w:rsid w:val="002B4423"/>
    <w:rsid w:val="002B44A0"/>
    <w:rsid w:val="002B48B4"/>
    <w:rsid w:val="002B4B61"/>
    <w:rsid w:val="002B50E6"/>
    <w:rsid w:val="002B5DFB"/>
    <w:rsid w:val="002B6A46"/>
    <w:rsid w:val="002B6AA0"/>
    <w:rsid w:val="002B6BFB"/>
    <w:rsid w:val="002B7197"/>
    <w:rsid w:val="002B7232"/>
    <w:rsid w:val="002B7971"/>
    <w:rsid w:val="002B7B08"/>
    <w:rsid w:val="002C0CAA"/>
    <w:rsid w:val="002C0D6F"/>
    <w:rsid w:val="002C0FD4"/>
    <w:rsid w:val="002C155E"/>
    <w:rsid w:val="002C1811"/>
    <w:rsid w:val="002C28D8"/>
    <w:rsid w:val="002C2DF2"/>
    <w:rsid w:val="002C33B8"/>
    <w:rsid w:val="002C3494"/>
    <w:rsid w:val="002C377F"/>
    <w:rsid w:val="002C3D8C"/>
    <w:rsid w:val="002C3E39"/>
    <w:rsid w:val="002C3F2E"/>
    <w:rsid w:val="002C41B3"/>
    <w:rsid w:val="002C4EC4"/>
    <w:rsid w:val="002C5C84"/>
    <w:rsid w:val="002C5E80"/>
    <w:rsid w:val="002C5F95"/>
    <w:rsid w:val="002C612E"/>
    <w:rsid w:val="002C6398"/>
    <w:rsid w:val="002C656A"/>
    <w:rsid w:val="002C661E"/>
    <w:rsid w:val="002C6B00"/>
    <w:rsid w:val="002C6BC2"/>
    <w:rsid w:val="002C6D5F"/>
    <w:rsid w:val="002C7846"/>
    <w:rsid w:val="002C792D"/>
    <w:rsid w:val="002D0225"/>
    <w:rsid w:val="002D0AAF"/>
    <w:rsid w:val="002D12AC"/>
    <w:rsid w:val="002D1AFE"/>
    <w:rsid w:val="002D1E48"/>
    <w:rsid w:val="002D1EDA"/>
    <w:rsid w:val="002D358A"/>
    <w:rsid w:val="002D3789"/>
    <w:rsid w:val="002D3CA2"/>
    <w:rsid w:val="002D4B59"/>
    <w:rsid w:val="002D4DF2"/>
    <w:rsid w:val="002D4EED"/>
    <w:rsid w:val="002D5317"/>
    <w:rsid w:val="002D54A8"/>
    <w:rsid w:val="002D560D"/>
    <w:rsid w:val="002D5C1D"/>
    <w:rsid w:val="002D6531"/>
    <w:rsid w:val="002D6A13"/>
    <w:rsid w:val="002D6E67"/>
    <w:rsid w:val="002D7A67"/>
    <w:rsid w:val="002E002A"/>
    <w:rsid w:val="002E0926"/>
    <w:rsid w:val="002E09E2"/>
    <w:rsid w:val="002E110B"/>
    <w:rsid w:val="002E2349"/>
    <w:rsid w:val="002E24D3"/>
    <w:rsid w:val="002E2A07"/>
    <w:rsid w:val="002E2A5F"/>
    <w:rsid w:val="002E3117"/>
    <w:rsid w:val="002E3709"/>
    <w:rsid w:val="002E377E"/>
    <w:rsid w:val="002E3B56"/>
    <w:rsid w:val="002E3F8A"/>
    <w:rsid w:val="002E45FF"/>
    <w:rsid w:val="002E4631"/>
    <w:rsid w:val="002E4FE0"/>
    <w:rsid w:val="002E569D"/>
    <w:rsid w:val="002E5D7D"/>
    <w:rsid w:val="002E5F2A"/>
    <w:rsid w:val="002E6746"/>
    <w:rsid w:val="002E6759"/>
    <w:rsid w:val="002E67B1"/>
    <w:rsid w:val="002E6AC9"/>
    <w:rsid w:val="002E6DEC"/>
    <w:rsid w:val="002E6EBA"/>
    <w:rsid w:val="002E799C"/>
    <w:rsid w:val="002F0141"/>
    <w:rsid w:val="002F0AE2"/>
    <w:rsid w:val="002F0F09"/>
    <w:rsid w:val="002F1D8B"/>
    <w:rsid w:val="002F239A"/>
    <w:rsid w:val="002F297A"/>
    <w:rsid w:val="002F3182"/>
    <w:rsid w:val="002F3C79"/>
    <w:rsid w:val="002F3EA1"/>
    <w:rsid w:val="002F4504"/>
    <w:rsid w:val="002F4B46"/>
    <w:rsid w:val="002F4D91"/>
    <w:rsid w:val="002F52D4"/>
    <w:rsid w:val="002F54F6"/>
    <w:rsid w:val="002F5BBB"/>
    <w:rsid w:val="002F6569"/>
    <w:rsid w:val="002F68C8"/>
    <w:rsid w:val="002F733A"/>
    <w:rsid w:val="002F76DD"/>
    <w:rsid w:val="002F7957"/>
    <w:rsid w:val="00300C8B"/>
    <w:rsid w:val="00300D51"/>
    <w:rsid w:val="00301038"/>
    <w:rsid w:val="003012F7"/>
    <w:rsid w:val="00301D10"/>
    <w:rsid w:val="00301F30"/>
    <w:rsid w:val="003020C7"/>
    <w:rsid w:val="003025CA"/>
    <w:rsid w:val="00302644"/>
    <w:rsid w:val="0030267F"/>
    <w:rsid w:val="0030289F"/>
    <w:rsid w:val="0030299D"/>
    <w:rsid w:val="00302EA0"/>
    <w:rsid w:val="00302F47"/>
    <w:rsid w:val="003030C4"/>
    <w:rsid w:val="00303649"/>
    <w:rsid w:val="00303825"/>
    <w:rsid w:val="00303A7D"/>
    <w:rsid w:val="003041B0"/>
    <w:rsid w:val="003043D0"/>
    <w:rsid w:val="003045D0"/>
    <w:rsid w:val="00304BA9"/>
    <w:rsid w:val="003050F7"/>
    <w:rsid w:val="0030549E"/>
    <w:rsid w:val="003054E0"/>
    <w:rsid w:val="00305585"/>
    <w:rsid w:val="003057BF"/>
    <w:rsid w:val="00305BCE"/>
    <w:rsid w:val="00305D93"/>
    <w:rsid w:val="00305E82"/>
    <w:rsid w:val="0030637D"/>
    <w:rsid w:val="00306625"/>
    <w:rsid w:val="00306918"/>
    <w:rsid w:val="003073A1"/>
    <w:rsid w:val="003073C6"/>
    <w:rsid w:val="003074DF"/>
    <w:rsid w:val="00307931"/>
    <w:rsid w:val="00307B49"/>
    <w:rsid w:val="00310139"/>
    <w:rsid w:val="0031042B"/>
    <w:rsid w:val="003104C3"/>
    <w:rsid w:val="0031086E"/>
    <w:rsid w:val="00310A59"/>
    <w:rsid w:val="00310B2F"/>
    <w:rsid w:val="00310B65"/>
    <w:rsid w:val="00310E80"/>
    <w:rsid w:val="0031163A"/>
    <w:rsid w:val="00311820"/>
    <w:rsid w:val="00311A91"/>
    <w:rsid w:val="003122A2"/>
    <w:rsid w:val="00312474"/>
    <w:rsid w:val="003125D7"/>
    <w:rsid w:val="00312B84"/>
    <w:rsid w:val="00312C0A"/>
    <w:rsid w:val="00313364"/>
    <w:rsid w:val="00313EA1"/>
    <w:rsid w:val="003140A5"/>
    <w:rsid w:val="003147C1"/>
    <w:rsid w:val="003156A1"/>
    <w:rsid w:val="00315E21"/>
    <w:rsid w:val="003160C4"/>
    <w:rsid w:val="003162ED"/>
    <w:rsid w:val="00316609"/>
    <w:rsid w:val="003168FE"/>
    <w:rsid w:val="00317064"/>
    <w:rsid w:val="0031785E"/>
    <w:rsid w:val="00320657"/>
    <w:rsid w:val="00320BD0"/>
    <w:rsid w:val="00320EAF"/>
    <w:rsid w:val="00321032"/>
    <w:rsid w:val="003210FD"/>
    <w:rsid w:val="00321233"/>
    <w:rsid w:val="0032174E"/>
    <w:rsid w:val="003219CE"/>
    <w:rsid w:val="00321E45"/>
    <w:rsid w:val="00322280"/>
    <w:rsid w:val="00322494"/>
    <w:rsid w:val="003239AA"/>
    <w:rsid w:val="003242DC"/>
    <w:rsid w:val="0032430E"/>
    <w:rsid w:val="003243B1"/>
    <w:rsid w:val="003245C4"/>
    <w:rsid w:val="003249A5"/>
    <w:rsid w:val="00324EDD"/>
    <w:rsid w:val="003259CD"/>
    <w:rsid w:val="00325C7D"/>
    <w:rsid w:val="00326505"/>
    <w:rsid w:val="0032671B"/>
    <w:rsid w:val="00326AB8"/>
    <w:rsid w:val="00327202"/>
    <w:rsid w:val="00327E4C"/>
    <w:rsid w:val="00327E58"/>
    <w:rsid w:val="00327EF7"/>
    <w:rsid w:val="00330528"/>
    <w:rsid w:val="00330787"/>
    <w:rsid w:val="00330A83"/>
    <w:rsid w:val="00331312"/>
    <w:rsid w:val="00331C7E"/>
    <w:rsid w:val="00331E5C"/>
    <w:rsid w:val="00331EF6"/>
    <w:rsid w:val="00332738"/>
    <w:rsid w:val="00333DEC"/>
    <w:rsid w:val="003342B2"/>
    <w:rsid w:val="00334748"/>
    <w:rsid w:val="003349C7"/>
    <w:rsid w:val="00334DD8"/>
    <w:rsid w:val="0033511B"/>
    <w:rsid w:val="0033558F"/>
    <w:rsid w:val="0033562B"/>
    <w:rsid w:val="0033646E"/>
    <w:rsid w:val="0033712F"/>
    <w:rsid w:val="00340701"/>
    <w:rsid w:val="0034082F"/>
    <w:rsid w:val="00340BCB"/>
    <w:rsid w:val="00341778"/>
    <w:rsid w:val="00341F97"/>
    <w:rsid w:val="00342B2A"/>
    <w:rsid w:val="00343C69"/>
    <w:rsid w:val="00343C94"/>
    <w:rsid w:val="00343D19"/>
    <w:rsid w:val="00343D9B"/>
    <w:rsid w:val="00343F2F"/>
    <w:rsid w:val="0034415B"/>
    <w:rsid w:val="00344646"/>
    <w:rsid w:val="00345185"/>
    <w:rsid w:val="003451BF"/>
    <w:rsid w:val="003458EA"/>
    <w:rsid w:val="00345F7D"/>
    <w:rsid w:val="00346333"/>
    <w:rsid w:val="0034655C"/>
    <w:rsid w:val="003466D7"/>
    <w:rsid w:val="003468E9"/>
    <w:rsid w:val="00346E01"/>
    <w:rsid w:val="00347280"/>
    <w:rsid w:val="00347446"/>
    <w:rsid w:val="00347732"/>
    <w:rsid w:val="0034792C"/>
    <w:rsid w:val="00350201"/>
    <w:rsid w:val="003502B6"/>
    <w:rsid w:val="00350620"/>
    <w:rsid w:val="00350780"/>
    <w:rsid w:val="00350A24"/>
    <w:rsid w:val="00350BF1"/>
    <w:rsid w:val="00350F34"/>
    <w:rsid w:val="003510B6"/>
    <w:rsid w:val="00351A64"/>
    <w:rsid w:val="00351CF7"/>
    <w:rsid w:val="00351CF8"/>
    <w:rsid w:val="003520A5"/>
    <w:rsid w:val="00352A7E"/>
    <w:rsid w:val="003534F3"/>
    <w:rsid w:val="00353646"/>
    <w:rsid w:val="003543DB"/>
    <w:rsid w:val="00354FCF"/>
    <w:rsid w:val="00355161"/>
    <w:rsid w:val="003558C6"/>
    <w:rsid w:val="00356C69"/>
    <w:rsid w:val="00357158"/>
    <w:rsid w:val="00357B4B"/>
    <w:rsid w:val="00357E58"/>
    <w:rsid w:val="00357F29"/>
    <w:rsid w:val="00357F5F"/>
    <w:rsid w:val="0036042E"/>
    <w:rsid w:val="003608EB"/>
    <w:rsid w:val="00360ABA"/>
    <w:rsid w:val="003611DB"/>
    <w:rsid w:val="00361279"/>
    <w:rsid w:val="00361CC6"/>
    <w:rsid w:val="00361FDF"/>
    <w:rsid w:val="0036224F"/>
    <w:rsid w:val="003628DE"/>
    <w:rsid w:val="00362F25"/>
    <w:rsid w:val="003632CA"/>
    <w:rsid w:val="0036348F"/>
    <w:rsid w:val="00363856"/>
    <w:rsid w:val="00363CAA"/>
    <w:rsid w:val="0036407C"/>
    <w:rsid w:val="00364140"/>
    <w:rsid w:val="00364153"/>
    <w:rsid w:val="003642D4"/>
    <w:rsid w:val="00364817"/>
    <w:rsid w:val="00364CAC"/>
    <w:rsid w:val="0036525C"/>
    <w:rsid w:val="003655A8"/>
    <w:rsid w:val="003655B6"/>
    <w:rsid w:val="00365D53"/>
    <w:rsid w:val="00365F8D"/>
    <w:rsid w:val="00367196"/>
    <w:rsid w:val="00367221"/>
    <w:rsid w:val="003674C1"/>
    <w:rsid w:val="00367816"/>
    <w:rsid w:val="0037016D"/>
    <w:rsid w:val="00370534"/>
    <w:rsid w:val="003706A7"/>
    <w:rsid w:val="003715A1"/>
    <w:rsid w:val="00371749"/>
    <w:rsid w:val="00371A3D"/>
    <w:rsid w:val="00372593"/>
    <w:rsid w:val="00372610"/>
    <w:rsid w:val="003728EA"/>
    <w:rsid w:val="00372A60"/>
    <w:rsid w:val="00372D4A"/>
    <w:rsid w:val="003731D1"/>
    <w:rsid w:val="0037321E"/>
    <w:rsid w:val="003733CD"/>
    <w:rsid w:val="003737F0"/>
    <w:rsid w:val="00373B9C"/>
    <w:rsid w:val="00373C50"/>
    <w:rsid w:val="00374EC3"/>
    <w:rsid w:val="0037533C"/>
    <w:rsid w:val="00375D82"/>
    <w:rsid w:val="00375F93"/>
    <w:rsid w:val="0037648A"/>
    <w:rsid w:val="00376DFD"/>
    <w:rsid w:val="00377613"/>
    <w:rsid w:val="003779CC"/>
    <w:rsid w:val="00377A41"/>
    <w:rsid w:val="00377BC2"/>
    <w:rsid w:val="00377EB9"/>
    <w:rsid w:val="00377EEE"/>
    <w:rsid w:val="00377F3D"/>
    <w:rsid w:val="00377F8D"/>
    <w:rsid w:val="00380244"/>
    <w:rsid w:val="003804E4"/>
    <w:rsid w:val="0038097E"/>
    <w:rsid w:val="003809DB"/>
    <w:rsid w:val="00380A20"/>
    <w:rsid w:val="00381FA9"/>
    <w:rsid w:val="00382A0F"/>
    <w:rsid w:val="00382B29"/>
    <w:rsid w:val="003833DC"/>
    <w:rsid w:val="00383952"/>
    <w:rsid w:val="00383A98"/>
    <w:rsid w:val="00383FB0"/>
    <w:rsid w:val="003840E6"/>
    <w:rsid w:val="003846F2"/>
    <w:rsid w:val="003847A1"/>
    <w:rsid w:val="00384ADC"/>
    <w:rsid w:val="00386708"/>
    <w:rsid w:val="003871FE"/>
    <w:rsid w:val="003872C2"/>
    <w:rsid w:val="0038792B"/>
    <w:rsid w:val="00387C19"/>
    <w:rsid w:val="00387CD9"/>
    <w:rsid w:val="00390297"/>
    <w:rsid w:val="00390318"/>
    <w:rsid w:val="00391391"/>
    <w:rsid w:val="00391A23"/>
    <w:rsid w:val="00391BA8"/>
    <w:rsid w:val="0039249E"/>
    <w:rsid w:val="00392EA8"/>
    <w:rsid w:val="00393396"/>
    <w:rsid w:val="00393B45"/>
    <w:rsid w:val="00393C3F"/>
    <w:rsid w:val="003942DC"/>
    <w:rsid w:val="00394351"/>
    <w:rsid w:val="0039531B"/>
    <w:rsid w:val="00395ABB"/>
    <w:rsid w:val="003964CC"/>
    <w:rsid w:val="0039663E"/>
    <w:rsid w:val="00396802"/>
    <w:rsid w:val="00396878"/>
    <w:rsid w:val="00396944"/>
    <w:rsid w:val="00396BBE"/>
    <w:rsid w:val="00396DEB"/>
    <w:rsid w:val="00396E1B"/>
    <w:rsid w:val="003970EE"/>
    <w:rsid w:val="0039715B"/>
    <w:rsid w:val="00397A6A"/>
    <w:rsid w:val="003A093F"/>
    <w:rsid w:val="003A1484"/>
    <w:rsid w:val="003A1720"/>
    <w:rsid w:val="003A179C"/>
    <w:rsid w:val="003A218D"/>
    <w:rsid w:val="003A21E8"/>
    <w:rsid w:val="003A2330"/>
    <w:rsid w:val="003A24B5"/>
    <w:rsid w:val="003A2A1D"/>
    <w:rsid w:val="003A2A82"/>
    <w:rsid w:val="003A2C43"/>
    <w:rsid w:val="003A3784"/>
    <w:rsid w:val="003A380B"/>
    <w:rsid w:val="003A42E3"/>
    <w:rsid w:val="003A49C3"/>
    <w:rsid w:val="003A5327"/>
    <w:rsid w:val="003A540C"/>
    <w:rsid w:val="003A6172"/>
    <w:rsid w:val="003A6C1E"/>
    <w:rsid w:val="003A7462"/>
    <w:rsid w:val="003A75ED"/>
    <w:rsid w:val="003A79B8"/>
    <w:rsid w:val="003A7ACA"/>
    <w:rsid w:val="003A7E6F"/>
    <w:rsid w:val="003B01D8"/>
    <w:rsid w:val="003B09E1"/>
    <w:rsid w:val="003B0D63"/>
    <w:rsid w:val="003B16DC"/>
    <w:rsid w:val="003B1A3F"/>
    <w:rsid w:val="003B1FEB"/>
    <w:rsid w:val="003B2165"/>
    <w:rsid w:val="003B2B02"/>
    <w:rsid w:val="003B3CD6"/>
    <w:rsid w:val="003B3FBB"/>
    <w:rsid w:val="003B43AE"/>
    <w:rsid w:val="003B463C"/>
    <w:rsid w:val="003B49E3"/>
    <w:rsid w:val="003B4BF8"/>
    <w:rsid w:val="003B53EB"/>
    <w:rsid w:val="003B5910"/>
    <w:rsid w:val="003B5D28"/>
    <w:rsid w:val="003B5FE3"/>
    <w:rsid w:val="003B623B"/>
    <w:rsid w:val="003B6BDD"/>
    <w:rsid w:val="003B731F"/>
    <w:rsid w:val="003B776D"/>
    <w:rsid w:val="003C03FE"/>
    <w:rsid w:val="003C0DD8"/>
    <w:rsid w:val="003C12AD"/>
    <w:rsid w:val="003C1BB9"/>
    <w:rsid w:val="003C214E"/>
    <w:rsid w:val="003C24E7"/>
    <w:rsid w:val="003C2812"/>
    <w:rsid w:val="003C2BD0"/>
    <w:rsid w:val="003C2E0B"/>
    <w:rsid w:val="003C34F5"/>
    <w:rsid w:val="003C38BC"/>
    <w:rsid w:val="003C41A2"/>
    <w:rsid w:val="003C4B63"/>
    <w:rsid w:val="003C4DF4"/>
    <w:rsid w:val="003C4FAD"/>
    <w:rsid w:val="003C58A6"/>
    <w:rsid w:val="003C5995"/>
    <w:rsid w:val="003C6427"/>
    <w:rsid w:val="003C64B2"/>
    <w:rsid w:val="003C653A"/>
    <w:rsid w:val="003C6972"/>
    <w:rsid w:val="003C6E10"/>
    <w:rsid w:val="003C71C3"/>
    <w:rsid w:val="003C741D"/>
    <w:rsid w:val="003D003C"/>
    <w:rsid w:val="003D0510"/>
    <w:rsid w:val="003D08F1"/>
    <w:rsid w:val="003D0BE1"/>
    <w:rsid w:val="003D0D08"/>
    <w:rsid w:val="003D0D23"/>
    <w:rsid w:val="003D0D73"/>
    <w:rsid w:val="003D1187"/>
    <w:rsid w:val="003D14D1"/>
    <w:rsid w:val="003D1B52"/>
    <w:rsid w:val="003D207A"/>
    <w:rsid w:val="003D22BA"/>
    <w:rsid w:val="003D2B17"/>
    <w:rsid w:val="003D2D65"/>
    <w:rsid w:val="003D2FCB"/>
    <w:rsid w:val="003D3297"/>
    <w:rsid w:val="003D37AD"/>
    <w:rsid w:val="003D3AF9"/>
    <w:rsid w:val="003D40B1"/>
    <w:rsid w:val="003D445E"/>
    <w:rsid w:val="003D4767"/>
    <w:rsid w:val="003D48C2"/>
    <w:rsid w:val="003D5511"/>
    <w:rsid w:val="003D5F2C"/>
    <w:rsid w:val="003D5F3A"/>
    <w:rsid w:val="003D5F80"/>
    <w:rsid w:val="003D609B"/>
    <w:rsid w:val="003D60E6"/>
    <w:rsid w:val="003D63AC"/>
    <w:rsid w:val="003D7115"/>
    <w:rsid w:val="003D78EE"/>
    <w:rsid w:val="003E009D"/>
    <w:rsid w:val="003E0262"/>
    <w:rsid w:val="003E033A"/>
    <w:rsid w:val="003E0422"/>
    <w:rsid w:val="003E06C4"/>
    <w:rsid w:val="003E09FB"/>
    <w:rsid w:val="003E0D3B"/>
    <w:rsid w:val="003E1311"/>
    <w:rsid w:val="003E1582"/>
    <w:rsid w:val="003E1D8E"/>
    <w:rsid w:val="003E1E8E"/>
    <w:rsid w:val="003E22B0"/>
    <w:rsid w:val="003E24F5"/>
    <w:rsid w:val="003E2A6C"/>
    <w:rsid w:val="003E3EF9"/>
    <w:rsid w:val="003E40A9"/>
    <w:rsid w:val="003E4116"/>
    <w:rsid w:val="003E4477"/>
    <w:rsid w:val="003E44A4"/>
    <w:rsid w:val="003E47FD"/>
    <w:rsid w:val="003E4C04"/>
    <w:rsid w:val="003E4EEE"/>
    <w:rsid w:val="003E4F0A"/>
    <w:rsid w:val="003E5005"/>
    <w:rsid w:val="003E587A"/>
    <w:rsid w:val="003E5CC2"/>
    <w:rsid w:val="003E6110"/>
    <w:rsid w:val="003E624C"/>
    <w:rsid w:val="003E653C"/>
    <w:rsid w:val="003E6678"/>
    <w:rsid w:val="003E686E"/>
    <w:rsid w:val="003E7107"/>
    <w:rsid w:val="003E75D1"/>
    <w:rsid w:val="003E79A4"/>
    <w:rsid w:val="003E7D76"/>
    <w:rsid w:val="003E7FF2"/>
    <w:rsid w:val="003F0208"/>
    <w:rsid w:val="003F03E3"/>
    <w:rsid w:val="003F0650"/>
    <w:rsid w:val="003F0763"/>
    <w:rsid w:val="003F097F"/>
    <w:rsid w:val="003F0C18"/>
    <w:rsid w:val="003F141C"/>
    <w:rsid w:val="003F162D"/>
    <w:rsid w:val="003F175B"/>
    <w:rsid w:val="003F21C7"/>
    <w:rsid w:val="003F246C"/>
    <w:rsid w:val="003F2543"/>
    <w:rsid w:val="003F2FDB"/>
    <w:rsid w:val="003F33A9"/>
    <w:rsid w:val="003F452E"/>
    <w:rsid w:val="003F4B7F"/>
    <w:rsid w:val="003F4C08"/>
    <w:rsid w:val="003F4D56"/>
    <w:rsid w:val="003F51A4"/>
    <w:rsid w:val="003F5D38"/>
    <w:rsid w:val="003F6D49"/>
    <w:rsid w:val="00400474"/>
    <w:rsid w:val="00400DF6"/>
    <w:rsid w:val="00401361"/>
    <w:rsid w:val="00401707"/>
    <w:rsid w:val="00402231"/>
    <w:rsid w:val="004024FD"/>
    <w:rsid w:val="00402553"/>
    <w:rsid w:val="00402C03"/>
    <w:rsid w:val="00402E8E"/>
    <w:rsid w:val="00403019"/>
    <w:rsid w:val="00403353"/>
    <w:rsid w:val="00403449"/>
    <w:rsid w:val="00403715"/>
    <w:rsid w:val="00403749"/>
    <w:rsid w:val="00404007"/>
    <w:rsid w:val="00404301"/>
    <w:rsid w:val="00404C50"/>
    <w:rsid w:val="00404F3E"/>
    <w:rsid w:val="00404F88"/>
    <w:rsid w:val="0040610A"/>
    <w:rsid w:val="004062AF"/>
    <w:rsid w:val="004063A6"/>
    <w:rsid w:val="00406A99"/>
    <w:rsid w:val="0040740C"/>
    <w:rsid w:val="00407699"/>
    <w:rsid w:val="00407A2A"/>
    <w:rsid w:val="00407B47"/>
    <w:rsid w:val="00407E0A"/>
    <w:rsid w:val="00410139"/>
    <w:rsid w:val="00410572"/>
    <w:rsid w:val="00410BB0"/>
    <w:rsid w:val="00410CE6"/>
    <w:rsid w:val="00411112"/>
    <w:rsid w:val="00411231"/>
    <w:rsid w:val="00411400"/>
    <w:rsid w:val="00411597"/>
    <w:rsid w:val="00412017"/>
    <w:rsid w:val="00412270"/>
    <w:rsid w:val="00412CF0"/>
    <w:rsid w:val="004131AB"/>
    <w:rsid w:val="004134B7"/>
    <w:rsid w:val="00413A5D"/>
    <w:rsid w:val="00413BC1"/>
    <w:rsid w:val="00413F9D"/>
    <w:rsid w:val="0041420D"/>
    <w:rsid w:val="0041425C"/>
    <w:rsid w:val="004146CA"/>
    <w:rsid w:val="004147BB"/>
    <w:rsid w:val="00414AC6"/>
    <w:rsid w:val="004159E8"/>
    <w:rsid w:val="00415B6D"/>
    <w:rsid w:val="00415DB3"/>
    <w:rsid w:val="00416073"/>
    <w:rsid w:val="00416266"/>
    <w:rsid w:val="00416968"/>
    <w:rsid w:val="00416B7F"/>
    <w:rsid w:val="00416D34"/>
    <w:rsid w:val="00417499"/>
    <w:rsid w:val="00420192"/>
    <w:rsid w:val="00420197"/>
    <w:rsid w:val="0042021E"/>
    <w:rsid w:val="00420A70"/>
    <w:rsid w:val="00420C43"/>
    <w:rsid w:val="0042151E"/>
    <w:rsid w:val="004216C8"/>
    <w:rsid w:val="00421810"/>
    <w:rsid w:val="00421829"/>
    <w:rsid w:val="00421E02"/>
    <w:rsid w:val="00422444"/>
    <w:rsid w:val="004228AA"/>
    <w:rsid w:val="00422C8D"/>
    <w:rsid w:val="00422EB9"/>
    <w:rsid w:val="00422FE8"/>
    <w:rsid w:val="00423117"/>
    <w:rsid w:val="00424064"/>
    <w:rsid w:val="004251A2"/>
    <w:rsid w:val="00425399"/>
    <w:rsid w:val="00425583"/>
    <w:rsid w:val="00425585"/>
    <w:rsid w:val="00425B3D"/>
    <w:rsid w:val="00426AF9"/>
    <w:rsid w:val="004279EE"/>
    <w:rsid w:val="00427FA3"/>
    <w:rsid w:val="00427FBD"/>
    <w:rsid w:val="00430BDA"/>
    <w:rsid w:val="00431325"/>
    <w:rsid w:val="004314C7"/>
    <w:rsid w:val="00431553"/>
    <w:rsid w:val="00431628"/>
    <w:rsid w:val="00431F79"/>
    <w:rsid w:val="00432740"/>
    <w:rsid w:val="00432A35"/>
    <w:rsid w:val="004338D5"/>
    <w:rsid w:val="004339D4"/>
    <w:rsid w:val="00433D79"/>
    <w:rsid w:val="0043487C"/>
    <w:rsid w:val="00434883"/>
    <w:rsid w:val="00435142"/>
    <w:rsid w:val="004351F6"/>
    <w:rsid w:val="0043531D"/>
    <w:rsid w:val="00435460"/>
    <w:rsid w:val="00435691"/>
    <w:rsid w:val="004359E5"/>
    <w:rsid w:val="00435B11"/>
    <w:rsid w:val="00436215"/>
    <w:rsid w:val="004364C8"/>
    <w:rsid w:val="00436C9F"/>
    <w:rsid w:val="004372A8"/>
    <w:rsid w:val="004376ED"/>
    <w:rsid w:val="00437717"/>
    <w:rsid w:val="0043784C"/>
    <w:rsid w:val="00437A92"/>
    <w:rsid w:val="00437E56"/>
    <w:rsid w:val="00440508"/>
    <w:rsid w:val="004405E2"/>
    <w:rsid w:val="00440B03"/>
    <w:rsid w:val="00440C12"/>
    <w:rsid w:val="00441909"/>
    <w:rsid w:val="00441D4C"/>
    <w:rsid w:val="00442398"/>
    <w:rsid w:val="00442507"/>
    <w:rsid w:val="00442708"/>
    <w:rsid w:val="00442B9E"/>
    <w:rsid w:val="004434C5"/>
    <w:rsid w:val="0044385C"/>
    <w:rsid w:val="004442D8"/>
    <w:rsid w:val="004446F8"/>
    <w:rsid w:val="0044482C"/>
    <w:rsid w:val="00444964"/>
    <w:rsid w:val="00444D50"/>
    <w:rsid w:val="00445047"/>
    <w:rsid w:val="00445B7C"/>
    <w:rsid w:val="00445F5B"/>
    <w:rsid w:val="00446263"/>
    <w:rsid w:val="004463AA"/>
    <w:rsid w:val="0044679E"/>
    <w:rsid w:val="00446D13"/>
    <w:rsid w:val="00446FD0"/>
    <w:rsid w:val="0044725A"/>
    <w:rsid w:val="0044760C"/>
    <w:rsid w:val="0044793B"/>
    <w:rsid w:val="00447E1C"/>
    <w:rsid w:val="004500D1"/>
    <w:rsid w:val="00450403"/>
    <w:rsid w:val="0045072E"/>
    <w:rsid w:val="004514BD"/>
    <w:rsid w:val="0045158B"/>
    <w:rsid w:val="00451FF5"/>
    <w:rsid w:val="0045205F"/>
    <w:rsid w:val="00452C51"/>
    <w:rsid w:val="00452DEB"/>
    <w:rsid w:val="00452E2C"/>
    <w:rsid w:val="00452EAE"/>
    <w:rsid w:val="00453803"/>
    <w:rsid w:val="00453E01"/>
    <w:rsid w:val="00454096"/>
    <w:rsid w:val="0045482A"/>
    <w:rsid w:val="0045482B"/>
    <w:rsid w:val="004557B8"/>
    <w:rsid w:val="00455823"/>
    <w:rsid w:val="004558D1"/>
    <w:rsid w:val="00455E06"/>
    <w:rsid w:val="004562F3"/>
    <w:rsid w:val="004563D9"/>
    <w:rsid w:val="00456D84"/>
    <w:rsid w:val="0045727F"/>
    <w:rsid w:val="0045752C"/>
    <w:rsid w:val="0045771E"/>
    <w:rsid w:val="004579CB"/>
    <w:rsid w:val="00457D88"/>
    <w:rsid w:val="00457F5B"/>
    <w:rsid w:val="0046009A"/>
    <w:rsid w:val="004602E8"/>
    <w:rsid w:val="0046047F"/>
    <w:rsid w:val="00460C61"/>
    <w:rsid w:val="00460D03"/>
    <w:rsid w:val="00460DA6"/>
    <w:rsid w:val="00461195"/>
    <w:rsid w:val="00462307"/>
    <w:rsid w:val="004625E6"/>
    <w:rsid w:val="00462918"/>
    <w:rsid w:val="00462AB2"/>
    <w:rsid w:val="00462DA7"/>
    <w:rsid w:val="00463317"/>
    <w:rsid w:val="004633EF"/>
    <w:rsid w:val="00463F0F"/>
    <w:rsid w:val="004641C7"/>
    <w:rsid w:val="0046429A"/>
    <w:rsid w:val="00464C43"/>
    <w:rsid w:val="00464F5B"/>
    <w:rsid w:val="0046589D"/>
    <w:rsid w:val="00465B5F"/>
    <w:rsid w:val="00466135"/>
    <w:rsid w:val="00466578"/>
    <w:rsid w:val="00466A03"/>
    <w:rsid w:val="00466C46"/>
    <w:rsid w:val="00467530"/>
    <w:rsid w:val="004678F9"/>
    <w:rsid w:val="00470FE3"/>
    <w:rsid w:val="0047166B"/>
    <w:rsid w:val="00471BF2"/>
    <w:rsid w:val="00471E6D"/>
    <w:rsid w:val="00472652"/>
    <w:rsid w:val="00472B78"/>
    <w:rsid w:val="00472DC3"/>
    <w:rsid w:val="00472FEC"/>
    <w:rsid w:val="004734CC"/>
    <w:rsid w:val="004736CC"/>
    <w:rsid w:val="00473BEF"/>
    <w:rsid w:val="00473CFD"/>
    <w:rsid w:val="00473F7A"/>
    <w:rsid w:val="004740B4"/>
    <w:rsid w:val="00474194"/>
    <w:rsid w:val="004742C2"/>
    <w:rsid w:val="00474551"/>
    <w:rsid w:val="004746D1"/>
    <w:rsid w:val="004749B8"/>
    <w:rsid w:val="00475695"/>
    <w:rsid w:val="00475D6A"/>
    <w:rsid w:val="00476002"/>
    <w:rsid w:val="0047616D"/>
    <w:rsid w:val="00476264"/>
    <w:rsid w:val="004765C2"/>
    <w:rsid w:val="00476B95"/>
    <w:rsid w:val="00476E74"/>
    <w:rsid w:val="00477AC3"/>
    <w:rsid w:val="00477C8C"/>
    <w:rsid w:val="00480E99"/>
    <w:rsid w:val="004820EF"/>
    <w:rsid w:val="004825D0"/>
    <w:rsid w:val="004830BD"/>
    <w:rsid w:val="00483399"/>
    <w:rsid w:val="00483B1D"/>
    <w:rsid w:val="00483B97"/>
    <w:rsid w:val="00483C85"/>
    <w:rsid w:val="00483D1D"/>
    <w:rsid w:val="00483E81"/>
    <w:rsid w:val="00484B30"/>
    <w:rsid w:val="004852A6"/>
    <w:rsid w:val="0048561A"/>
    <w:rsid w:val="00485BA2"/>
    <w:rsid w:val="0048687B"/>
    <w:rsid w:val="00486A39"/>
    <w:rsid w:val="00486ACD"/>
    <w:rsid w:val="00486B24"/>
    <w:rsid w:val="0048771B"/>
    <w:rsid w:val="00487F2A"/>
    <w:rsid w:val="00490302"/>
    <w:rsid w:val="00490952"/>
    <w:rsid w:val="00490CC3"/>
    <w:rsid w:val="00490F1E"/>
    <w:rsid w:val="0049228C"/>
    <w:rsid w:val="004929E9"/>
    <w:rsid w:val="00492D92"/>
    <w:rsid w:val="00493618"/>
    <w:rsid w:val="004939A7"/>
    <w:rsid w:val="00493C03"/>
    <w:rsid w:val="004941C7"/>
    <w:rsid w:val="00494208"/>
    <w:rsid w:val="0049429E"/>
    <w:rsid w:val="00494515"/>
    <w:rsid w:val="00494728"/>
    <w:rsid w:val="00494DEB"/>
    <w:rsid w:val="0049537E"/>
    <w:rsid w:val="004953E6"/>
    <w:rsid w:val="0049567A"/>
    <w:rsid w:val="0049595E"/>
    <w:rsid w:val="00495ACD"/>
    <w:rsid w:val="00496526"/>
    <w:rsid w:val="00496CD0"/>
    <w:rsid w:val="004A0641"/>
    <w:rsid w:val="004A0731"/>
    <w:rsid w:val="004A0F9C"/>
    <w:rsid w:val="004A105A"/>
    <w:rsid w:val="004A145C"/>
    <w:rsid w:val="004A20E8"/>
    <w:rsid w:val="004A2383"/>
    <w:rsid w:val="004A37F4"/>
    <w:rsid w:val="004A3F1D"/>
    <w:rsid w:val="004A3F5D"/>
    <w:rsid w:val="004A4250"/>
    <w:rsid w:val="004A4693"/>
    <w:rsid w:val="004A526B"/>
    <w:rsid w:val="004A59A6"/>
    <w:rsid w:val="004A5B13"/>
    <w:rsid w:val="004A5D7F"/>
    <w:rsid w:val="004A5FAA"/>
    <w:rsid w:val="004A5FF0"/>
    <w:rsid w:val="004A68A6"/>
    <w:rsid w:val="004B029A"/>
    <w:rsid w:val="004B0374"/>
    <w:rsid w:val="004B058E"/>
    <w:rsid w:val="004B08E7"/>
    <w:rsid w:val="004B0D66"/>
    <w:rsid w:val="004B103A"/>
    <w:rsid w:val="004B1EFB"/>
    <w:rsid w:val="004B25B1"/>
    <w:rsid w:val="004B27AD"/>
    <w:rsid w:val="004B2AC4"/>
    <w:rsid w:val="004B2F51"/>
    <w:rsid w:val="004B3008"/>
    <w:rsid w:val="004B350B"/>
    <w:rsid w:val="004B38B4"/>
    <w:rsid w:val="004B3904"/>
    <w:rsid w:val="004B3BF3"/>
    <w:rsid w:val="004B44A1"/>
    <w:rsid w:val="004B5521"/>
    <w:rsid w:val="004B58FA"/>
    <w:rsid w:val="004B64E1"/>
    <w:rsid w:val="004B67EF"/>
    <w:rsid w:val="004B6C52"/>
    <w:rsid w:val="004B7013"/>
    <w:rsid w:val="004B7DF6"/>
    <w:rsid w:val="004C0086"/>
    <w:rsid w:val="004C0498"/>
    <w:rsid w:val="004C066A"/>
    <w:rsid w:val="004C079B"/>
    <w:rsid w:val="004C09C6"/>
    <w:rsid w:val="004C0EC7"/>
    <w:rsid w:val="004C15ED"/>
    <w:rsid w:val="004C3BDC"/>
    <w:rsid w:val="004C3FCE"/>
    <w:rsid w:val="004C4692"/>
    <w:rsid w:val="004C483B"/>
    <w:rsid w:val="004C495C"/>
    <w:rsid w:val="004C57C0"/>
    <w:rsid w:val="004C5823"/>
    <w:rsid w:val="004C680D"/>
    <w:rsid w:val="004C6D3C"/>
    <w:rsid w:val="004C750D"/>
    <w:rsid w:val="004C780C"/>
    <w:rsid w:val="004C7F3A"/>
    <w:rsid w:val="004D00CF"/>
    <w:rsid w:val="004D020C"/>
    <w:rsid w:val="004D0414"/>
    <w:rsid w:val="004D0729"/>
    <w:rsid w:val="004D0C27"/>
    <w:rsid w:val="004D0DFC"/>
    <w:rsid w:val="004D0E0E"/>
    <w:rsid w:val="004D11BB"/>
    <w:rsid w:val="004D1A8A"/>
    <w:rsid w:val="004D21F8"/>
    <w:rsid w:val="004D2B85"/>
    <w:rsid w:val="004D2E6F"/>
    <w:rsid w:val="004D3C13"/>
    <w:rsid w:val="004D3E8F"/>
    <w:rsid w:val="004D3F83"/>
    <w:rsid w:val="004D4B93"/>
    <w:rsid w:val="004D4BD1"/>
    <w:rsid w:val="004D5024"/>
    <w:rsid w:val="004D5528"/>
    <w:rsid w:val="004D5802"/>
    <w:rsid w:val="004D6052"/>
    <w:rsid w:val="004D60FF"/>
    <w:rsid w:val="004D6378"/>
    <w:rsid w:val="004D6900"/>
    <w:rsid w:val="004D6CA0"/>
    <w:rsid w:val="004D6E46"/>
    <w:rsid w:val="004D6F6C"/>
    <w:rsid w:val="004D76BA"/>
    <w:rsid w:val="004D7C49"/>
    <w:rsid w:val="004D7E38"/>
    <w:rsid w:val="004E05EB"/>
    <w:rsid w:val="004E109A"/>
    <w:rsid w:val="004E11DE"/>
    <w:rsid w:val="004E16A8"/>
    <w:rsid w:val="004E1C31"/>
    <w:rsid w:val="004E2607"/>
    <w:rsid w:val="004E2BB8"/>
    <w:rsid w:val="004E3146"/>
    <w:rsid w:val="004E3340"/>
    <w:rsid w:val="004E3A3C"/>
    <w:rsid w:val="004E4575"/>
    <w:rsid w:val="004E488E"/>
    <w:rsid w:val="004E4A91"/>
    <w:rsid w:val="004E4C26"/>
    <w:rsid w:val="004E4DA0"/>
    <w:rsid w:val="004E50E3"/>
    <w:rsid w:val="004E52ED"/>
    <w:rsid w:val="004E6824"/>
    <w:rsid w:val="004E707F"/>
    <w:rsid w:val="004E7BF0"/>
    <w:rsid w:val="004E7CED"/>
    <w:rsid w:val="004E7FC3"/>
    <w:rsid w:val="004F0293"/>
    <w:rsid w:val="004F0F15"/>
    <w:rsid w:val="004F0F6D"/>
    <w:rsid w:val="004F12C5"/>
    <w:rsid w:val="004F238D"/>
    <w:rsid w:val="004F23A1"/>
    <w:rsid w:val="004F2F24"/>
    <w:rsid w:val="004F33AB"/>
    <w:rsid w:val="004F38E2"/>
    <w:rsid w:val="004F3AD3"/>
    <w:rsid w:val="004F3C2D"/>
    <w:rsid w:val="004F46AB"/>
    <w:rsid w:val="004F46DE"/>
    <w:rsid w:val="004F47B9"/>
    <w:rsid w:val="004F510F"/>
    <w:rsid w:val="004F5197"/>
    <w:rsid w:val="004F5868"/>
    <w:rsid w:val="004F58C5"/>
    <w:rsid w:val="004F5AA6"/>
    <w:rsid w:val="004F5D97"/>
    <w:rsid w:val="004F6B39"/>
    <w:rsid w:val="004F6E64"/>
    <w:rsid w:val="004F6E79"/>
    <w:rsid w:val="004F7530"/>
    <w:rsid w:val="004F75E3"/>
    <w:rsid w:val="004F7F78"/>
    <w:rsid w:val="005010E7"/>
    <w:rsid w:val="00501583"/>
    <w:rsid w:val="0050196E"/>
    <w:rsid w:val="00501CB7"/>
    <w:rsid w:val="005020CE"/>
    <w:rsid w:val="00502F25"/>
    <w:rsid w:val="0050329E"/>
    <w:rsid w:val="00503E3A"/>
    <w:rsid w:val="00503E89"/>
    <w:rsid w:val="00503FDC"/>
    <w:rsid w:val="0050463D"/>
    <w:rsid w:val="00504A5F"/>
    <w:rsid w:val="00504DBA"/>
    <w:rsid w:val="00505206"/>
    <w:rsid w:val="005056D4"/>
    <w:rsid w:val="00505E23"/>
    <w:rsid w:val="0050608F"/>
    <w:rsid w:val="00506D43"/>
    <w:rsid w:val="00506FE9"/>
    <w:rsid w:val="005070C1"/>
    <w:rsid w:val="005070C3"/>
    <w:rsid w:val="00507169"/>
    <w:rsid w:val="005072AA"/>
    <w:rsid w:val="00507A9E"/>
    <w:rsid w:val="00507B0D"/>
    <w:rsid w:val="00507E59"/>
    <w:rsid w:val="00510182"/>
    <w:rsid w:val="005106EB"/>
    <w:rsid w:val="00510AAF"/>
    <w:rsid w:val="00510FD4"/>
    <w:rsid w:val="0051107A"/>
    <w:rsid w:val="00511330"/>
    <w:rsid w:val="005113A0"/>
    <w:rsid w:val="00511CA0"/>
    <w:rsid w:val="00511F15"/>
    <w:rsid w:val="00511F40"/>
    <w:rsid w:val="00512339"/>
    <w:rsid w:val="005128C6"/>
    <w:rsid w:val="00512A12"/>
    <w:rsid w:val="00512E54"/>
    <w:rsid w:val="00513043"/>
    <w:rsid w:val="005131DF"/>
    <w:rsid w:val="00513242"/>
    <w:rsid w:val="005135C7"/>
    <w:rsid w:val="00513F2E"/>
    <w:rsid w:val="005140FA"/>
    <w:rsid w:val="00514374"/>
    <w:rsid w:val="00514ABA"/>
    <w:rsid w:val="005155DD"/>
    <w:rsid w:val="005163E3"/>
    <w:rsid w:val="00516873"/>
    <w:rsid w:val="005173CA"/>
    <w:rsid w:val="0051789D"/>
    <w:rsid w:val="005179A7"/>
    <w:rsid w:val="00517E09"/>
    <w:rsid w:val="00520187"/>
    <w:rsid w:val="00520336"/>
    <w:rsid w:val="00520511"/>
    <w:rsid w:val="00521BED"/>
    <w:rsid w:val="00522883"/>
    <w:rsid w:val="00523E91"/>
    <w:rsid w:val="00523FF9"/>
    <w:rsid w:val="005240E8"/>
    <w:rsid w:val="005244E7"/>
    <w:rsid w:val="0052454A"/>
    <w:rsid w:val="00524562"/>
    <w:rsid w:val="00524AF0"/>
    <w:rsid w:val="00524DB0"/>
    <w:rsid w:val="00524FF2"/>
    <w:rsid w:val="00525793"/>
    <w:rsid w:val="00525F8F"/>
    <w:rsid w:val="00526145"/>
    <w:rsid w:val="00526596"/>
    <w:rsid w:val="00527795"/>
    <w:rsid w:val="0052796C"/>
    <w:rsid w:val="00527A84"/>
    <w:rsid w:val="00527B89"/>
    <w:rsid w:val="0053021C"/>
    <w:rsid w:val="005304E3"/>
    <w:rsid w:val="00530788"/>
    <w:rsid w:val="00530919"/>
    <w:rsid w:val="00530D7B"/>
    <w:rsid w:val="00530F6B"/>
    <w:rsid w:val="00531FD0"/>
    <w:rsid w:val="00532396"/>
    <w:rsid w:val="005323EC"/>
    <w:rsid w:val="005326DE"/>
    <w:rsid w:val="005329E7"/>
    <w:rsid w:val="005329FE"/>
    <w:rsid w:val="00533BCD"/>
    <w:rsid w:val="00533CEA"/>
    <w:rsid w:val="0053439C"/>
    <w:rsid w:val="005348C6"/>
    <w:rsid w:val="00534A89"/>
    <w:rsid w:val="00534C24"/>
    <w:rsid w:val="005354AC"/>
    <w:rsid w:val="005368EB"/>
    <w:rsid w:val="0053708C"/>
    <w:rsid w:val="005372D1"/>
    <w:rsid w:val="00537459"/>
    <w:rsid w:val="00537563"/>
    <w:rsid w:val="005379C7"/>
    <w:rsid w:val="00537AB0"/>
    <w:rsid w:val="00537D71"/>
    <w:rsid w:val="00540785"/>
    <w:rsid w:val="00540E6B"/>
    <w:rsid w:val="00541410"/>
    <w:rsid w:val="00541517"/>
    <w:rsid w:val="00541AF6"/>
    <w:rsid w:val="00541DC7"/>
    <w:rsid w:val="0054213E"/>
    <w:rsid w:val="005428DA"/>
    <w:rsid w:val="00542C45"/>
    <w:rsid w:val="00542CB4"/>
    <w:rsid w:val="005435AE"/>
    <w:rsid w:val="00543613"/>
    <w:rsid w:val="00543A78"/>
    <w:rsid w:val="00543D9F"/>
    <w:rsid w:val="00543E93"/>
    <w:rsid w:val="00543FE1"/>
    <w:rsid w:val="0054413A"/>
    <w:rsid w:val="00544268"/>
    <w:rsid w:val="005447F1"/>
    <w:rsid w:val="00544A8C"/>
    <w:rsid w:val="00544B38"/>
    <w:rsid w:val="00545CE4"/>
    <w:rsid w:val="005461C1"/>
    <w:rsid w:val="00546204"/>
    <w:rsid w:val="005464A5"/>
    <w:rsid w:val="00546FBA"/>
    <w:rsid w:val="00547605"/>
    <w:rsid w:val="00547627"/>
    <w:rsid w:val="00547828"/>
    <w:rsid w:val="005479CA"/>
    <w:rsid w:val="00550593"/>
    <w:rsid w:val="0055059E"/>
    <w:rsid w:val="00550DDE"/>
    <w:rsid w:val="00550F51"/>
    <w:rsid w:val="005519AF"/>
    <w:rsid w:val="00551EE3"/>
    <w:rsid w:val="005521CB"/>
    <w:rsid w:val="0055296E"/>
    <w:rsid w:val="00552CEF"/>
    <w:rsid w:val="005533D0"/>
    <w:rsid w:val="00553FA7"/>
    <w:rsid w:val="005541C8"/>
    <w:rsid w:val="00554C68"/>
    <w:rsid w:val="0055509E"/>
    <w:rsid w:val="00555320"/>
    <w:rsid w:val="005555B0"/>
    <w:rsid w:val="00555821"/>
    <w:rsid w:val="00555B50"/>
    <w:rsid w:val="00555EE9"/>
    <w:rsid w:val="00556527"/>
    <w:rsid w:val="005571FB"/>
    <w:rsid w:val="0055723F"/>
    <w:rsid w:val="0055737E"/>
    <w:rsid w:val="00557556"/>
    <w:rsid w:val="00557FA3"/>
    <w:rsid w:val="00557FD4"/>
    <w:rsid w:val="0056033F"/>
    <w:rsid w:val="005617FD"/>
    <w:rsid w:val="00561894"/>
    <w:rsid w:val="00561BAC"/>
    <w:rsid w:val="00562043"/>
    <w:rsid w:val="00562E0B"/>
    <w:rsid w:val="00563D24"/>
    <w:rsid w:val="005640CA"/>
    <w:rsid w:val="005657A5"/>
    <w:rsid w:val="00565878"/>
    <w:rsid w:val="00565A95"/>
    <w:rsid w:val="00565BEE"/>
    <w:rsid w:val="00565D1B"/>
    <w:rsid w:val="0056648E"/>
    <w:rsid w:val="00567774"/>
    <w:rsid w:val="005702D0"/>
    <w:rsid w:val="00570CFC"/>
    <w:rsid w:val="00570F86"/>
    <w:rsid w:val="00570FB4"/>
    <w:rsid w:val="00571B10"/>
    <w:rsid w:val="00571F5C"/>
    <w:rsid w:val="00573157"/>
    <w:rsid w:val="00573166"/>
    <w:rsid w:val="00573550"/>
    <w:rsid w:val="00573572"/>
    <w:rsid w:val="00573798"/>
    <w:rsid w:val="00573895"/>
    <w:rsid w:val="0057390C"/>
    <w:rsid w:val="005741AD"/>
    <w:rsid w:val="005749D9"/>
    <w:rsid w:val="00574D4C"/>
    <w:rsid w:val="00575009"/>
    <w:rsid w:val="0057537D"/>
    <w:rsid w:val="005757F2"/>
    <w:rsid w:val="0057673B"/>
    <w:rsid w:val="00576762"/>
    <w:rsid w:val="005768C6"/>
    <w:rsid w:val="005778C1"/>
    <w:rsid w:val="00577D99"/>
    <w:rsid w:val="0058066C"/>
    <w:rsid w:val="005809C8"/>
    <w:rsid w:val="005814EE"/>
    <w:rsid w:val="00581578"/>
    <w:rsid w:val="005817AF"/>
    <w:rsid w:val="00581E6A"/>
    <w:rsid w:val="005829CD"/>
    <w:rsid w:val="00582A14"/>
    <w:rsid w:val="00583362"/>
    <w:rsid w:val="00583853"/>
    <w:rsid w:val="00583890"/>
    <w:rsid w:val="00583B38"/>
    <w:rsid w:val="00584406"/>
    <w:rsid w:val="00584708"/>
    <w:rsid w:val="00585006"/>
    <w:rsid w:val="0058514D"/>
    <w:rsid w:val="0058534F"/>
    <w:rsid w:val="0058552B"/>
    <w:rsid w:val="0058575F"/>
    <w:rsid w:val="00585C0C"/>
    <w:rsid w:val="00586357"/>
    <w:rsid w:val="005863E5"/>
    <w:rsid w:val="00586B71"/>
    <w:rsid w:val="0058723C"/>
    <w:rsid w:val="0058724E"/>
    <w:rsid w:val="00587759"/>
    <w:rsid w:val="00587D35"/>
    <w:rsid w:val="00590012"/>
    <w:rsid w:val="00590237"/>
    <w:rsid w:val="00590967"/>
    <w:rsid w:val="0059099D"/>
    <w:rsid w:val="005910AE"/>
    <w:rsid w:val="00591EF4"/>
    <w:rsid w:val="0059261E"/>
    <w:rsid w:val="00592ED6"/>
    <w:rsid w:val="0059315E"/>
    <w:rsid w:val="005931A4"/>
    <w:rsid w:val="0059340C"/>
    <w:rsid w:val="005939FC"/>
    <w:rsid w:val="00594992"/>
    <w:rsid w:val="00595C83"/>
    <w:rsid w:val="00596487"/>
    <w:rsid w:val="00596EED"/>
    <w:rsid w:val="00597190"/>
    <w:rsid w:val="005974FA"/>
    <w:rsid w:val="00597827"/>
    <w:rsid w:val="00597F36"/>
    <w:rsid w:val="005A019E"/>
    <w:rsid w:val="005A04BA"/>
    <w:rsid w:val="005A077E"/>
    <w:rsid w:val="005A084F"/>
    <w:rsid w:val="005A0B0F"/>
    <w:rsid w:val="005A0BFB"/>
    <w:rsid w:val="005A1975"/>
    <w:rsid w:val="005A1A63"/>
    <w:rsid w:val="005A231D"/>
    <w:rsid w:val="005A26BE"/>
    <w:rsid w:val="005A3644"/>
    <w:rsid w:val="005A3965"/>
    <w:rsid w:val="005A39A4"/>
    <w:rsid w:val="005A3E4F"/>
    <w:rsid w:val="005A45EB"/>
    <w:rsid w:val="005A54F6"/>
    <w:rsid w:val="005A553B"/>
    <w:rsid w:val="005A5B27"/>
    <w:rsid w:val="005A65B6"/>
    <w:rsid w:val="005A6D64"/>
    <w:rsid w:val="005A7213"/>
    <w:rsid w:val="005A75BE"/>
    <w:rsid w:val="005A7DD6"/>
    <w:rsid w:val="005B0110"/>
    <w:rsid w:val="005B01F4"/>
    <w:rsid w:val="005B0B3B"/>
    <w:rsid w:val="005B0C54"/>
    <w:rsid w:val="005B0CAB"/>
    <w:rsid w:val="005B0E3A"/>
    <w:rsid w:val="005B1046"/>
    <w:rsid w:val="005B11CC"/>
    <w:rsid w:val="005B1844"/>
    <w:rsid w:val="005B1A57"/>
    <w:rsid w:val="005B22CF"/>
    <w:rsid w:val="005B29B9"/>
    <w:rsid w:val="005B2DF0"/>
    <w:rsid w:val="005B2E0E"/>
    <w:rsid w:val="005B2FC2"/>
    <w:rsid w:val="005B39ED"/>
    <w:rsid w:val="005B3E26"/>
    <w:rsid w:val="005B3F74"/>
    <w:rsid w:val="005B42E2"/>
    <w:rsid w:val="005B56F4"/>
    <w:rsid w:val="005B6F26"/>
    <w:rsid w:val="005B78C3"/>
    <w:rsid w:val="005B7A9C"/>
    <w:rsid w:val="005B7C92"/>
    <w:rsid w:val="005C0197"/>
    <w:rsid w:val="005C04C1"/>
    <w:rsid w:val="005C08D7"/>
    <w:rsid w:val="005C222F"/>
    <w:rsid w:val="005C2E10"/>
    <w:rsid w:val="005C3C0F"/>
    <w:rsid w:val="005C3CFC"/>
    <w:rsid w:val="005C4247"/>
    <w:rsid w:val="005C429A"/>
    <w:rsid w:val="005C4726"/>
    <w:rsid w:val="005C485D"/>
    <w:rsid w:val="005C541B"/>
    <w:rsid w:val="005C55E5"/>
    <w:rsid w:val="005C55F8"/>
    <w:rsid w:val="005C5AA1"/>
    <w:rsid w:val="005C5C20"/>
    <w:rsid w:val="005C5C84"/>
    <w:rsid w:val="005C5CF9"/>
    <w:rsid w:val="005C5DDB"/>
    <w:rsid w:val="005C5E44"/>
    <w:rsid w:val="005C6A2E"/>
    <w:rsid w:val="005C6CDC"/>
    <w:rsid w:val="005C6E0D"/>
    <w:rsid w:val="005C7136"/>
    <w:rsid w:val="005C747F"/>
    <w:rsid w:val="005C7FEC"/>
    <w:rsid w:val="005D03C3"/>
    <w:rsid w:val="005D0C11"/>
    <w:rsid w:val="005D0C97"/>
    <w:rsid w:val="005D0F90"/>
    <w:rsid w:val="005D1284"/>
    <w:rsid w:val="005D1A5D"/>
    <w:rsid w:val="005D1BAE"/>
    <w:rsid w:val="005D1F91"/>
    <w:rsid w:val="005D2C7D"/>
    <w:rsid w:val="005D2D6C"/>
    <w:rsid w:val="005D2E0B"/>
    <w:rsid w:val="005D2E9C"/>
    <w:rsid w:val="005D31C8"/>
    <w:rsid w:val="005D3583"/>
    <w:rsid w:val="005D37D9"/>
    <w:rsid w:val="005D3EEE"/>
    <w:rsid w:val="005D4D63"/>
    <w:rsid w:val="005D548F"/>
    <w:rsid w:val="005D59D9"/>
    <w:rsid w:val="005D5B3E"/>
    <w:rsid w:val="005D5CB9"/>
    <w:rsid w:val="005D5D7F"/>
    <w:rsid w:val="005D6129"/>
    <w:rsid w:val="005D6206"/>
    <w:rsid w:val="005D6787"/>
    <w:rsid w:val="005D6C20"/>
    <w:rsid w:val="005D6D00"/>
    <w:rsid w:val="005D7CAB"/>
    <w:rsid w:val="005D7DA3"/>
    <w:rsid w:val="005E01DA"/>
    <w:rsid w:val="005E06AF"/>
    <w:rsid w:val="005E0F2A"/>
    <w:rsid w:val="005E10B9"/>
    <w:rsid w:val="005E1557"/>
    <w:rsid w:val="005E1B74"/>
    <w:rsid w:val="005E1D24"/>
    <w:rsid w:val="005E2A8E"/>
    <w:rsid w:val="005E2C01"/>
    <w:rsid w:val="005E326B"/>
    <w:rsid w:val="005E3565"/>
    <w:rsid w:val="005E3819"/>
    <w:rsid w:val="005E3DAE"/>
    <w:rsid w:val="005E4899"/>
    <w:rsid w:val="005E4998"/>
    <w:rsid w:val="005E604D"/>
    <w:rsid w:val="005E6891"/>
    <w:rsid w:val="005E6E95"/>
    <w:rsid w:val="005E733D"/>
    <w:rsid w:val="005E75EA"/>
    <w:rsid w:val="005E7645"/>
    <w:rsid w:val="005E79DE"/>
    <w:rsid w:val="005E7EAE"/>
    <w:rsid w:val="005F067B"/>
    <w:rsid w:val="005F0BF0"/>
    <w:rsid w:val="005F0D40"/>
    <w:rsid w:val="005F0EBC"/>
    <w:rsid w:val="005F154F"/>
    <w:rsid w:val="005F15C2"/>
    <w:rsid w:val="005F1C4D"/>
    <w:rsid w:val="005F1CBD"/>
    <w:rsid w:val="005F1F76"/>
    <w:rsid w:val="005F323E"/>
    <w:rsid w:val="005F34B3"/>
    <w:rsid w:val="005F42C3"/>
    <w:rsid w:val="005F4552"/>
    <w:rsid w:val="005F4A97"/>
    <w:rsid w:val="005F5069"/>
    <w:rsid w:val="005F52DC"/>
    <w:rsid w:val="005F54B2"/>
    <w:rsid w:val="005F59EA"/>
    <w:rsid w:val="005F5DC3"/>
    <w:rsid w:val="005F650F"/>
    <w:rsid w:val="005F680C"/>
    <w:rsid w:val="005F7123"/>
    <w:rsid w:val="00600043"/>
    <w:rsid w:val="006006C5"/>
    <w:rsid w:val="00600880"/>
    <w:rsid w:val="006010A7"/>
    <w:rsid w:val="0060142A"/>
    <w:rsid w:val="00601C3D"/>
    <w:rsid w:val="00602128"/>
    <w:rsid w:val="006025F4"/>
    <w:rsid w:val="006026B2"/>
    <w:rsid w:val="00602BEA"/>
    <w:rsid w:val="00602CB3"/>
    <w:rsid w:val="00602D5B"/>
    <w:rsid w:val="006030BC"/>
    <w:rsid w:val="00603730"/>
    <w:rsid w:val="00604BDB"/>
    <w:rsid w:val="00604F6D"/>
    <w:rsid w:val="00605A23"/>
    <w:rsid w:val="00605C22"/>
    <w:rsid w:val="00605C27"/>
    <w:rsid w:val="00605CC4"/>
    <w:rsid w:val="00605FC1"/>
    <w:rsid w:val="00606174"/>
    <w:rsid w:val="00606BA6"/>
    <w:rsid w:val="006075BF"/>
    <w:rsid w:val="00607602"/>
    <w:rsid w:val="00607E05"/>
    <w:rsid w:val="00607F9C"/>
    <w:rsid w:val="006100CB"/>
    <w:rsid w:val="00610237"/>
    <w:rsid w:val="006103EB"/>
    <w:rsid w:val="00610770"/>
    <w:rsid w:val="0061078E"/>
    <w:rsid w:val="006113C6"/>
    <w:rsid w:val="006113C9"/>
    <w:rsid w:val="00611845"/>
    <w:rsid w:val="00611B47"/>
    <w:rsid w:val="00611D1F"/>
    <w:rsid w:val="006125DF"/>
    <w:rsid w:val="00612F98"/>
    <w:rsid w:val="00613120"/>
    <w:rsid w:val="0061322A"/>
    <w:rsid w:val="0061387B"/>
    <w:rsid w:val="00613C99"/>
    <w:rsid w:val="00613D47"/>
    <w:rsid w:val="006145CF"/>
    <w:rsid w:val="00615199"/>
    <w:rsid w:val="00615240"/>
    <w:rsid w:val="0061553E"/>
    <w:rsid w:val="00615A1D"/>
    <w:rsid w:val="00616186"/>
    <w:rsid w:val="00616379"/>
    <w:rsid w:val="0061689A"/>
    <w:rsid w:val="00617043"/>
    <w:rsid w:val="0061715D"/>
    <w:rsid w:val="00617392"/>
    <w:rsid w:val="00617740"/>
    <w:rsid w:val="00617BB7"/>
    <w:rsid w:val="0062043E"/>
    <w:rsid w:val="006206CA"/>
    <w:rsid w:val="00620C6A"/>
    <w:rsid w:val="00621BF0"/>
    <w:rsid w:val="00622026"/>
    <w:rsid w:val="0062292A"/>
    <w:rsid w:val="00622D8F"/>
    <w:rsid w:val="006236C9"/>
    <w:rsid w:val="00623E3D"/>
    <w:rsid w:val="00624A1F"/>
    <w:rsid w:val="0062500B"/>
    <w:rsid w:val="00625206"/>
    <w:rsid w:val="00625404"/>
    <w:rsid w:val="00625CFF"/>
    <w:rsid w:val="00625D6C"/>
    <w:rsid w:val="006260AC"/>
    <w:rsid w:val="00626930"/>
    <w:rsid w:val="00626CAB"/>
    <w:rsid w:val="00626EAC"/>
    <w:rsid w:val="006270CD"/>
    <w:rsid w:val="00630C13"/>
    <w:rsid w:val="00630F95"/>
    <w:rsid w:val="00631383"/>
    <w:rsid w:val="00632627"/>
    <w:rsid w:val="0063290B"/>
    <w:rsid w:val="00634098"/>
    <w:rsid w:val="006341A6"/>
    <w:rsid w:val="006341C3"/>
    <w:rsid w:val="00634F59"/>
    <w:rsid w:val="00635E66"/>
    <w:rsid w:val="0063662C"/>
    <w:rsid w:val="00636682"/>
    <w:rsid w:val="006366BF"/>
    <w:rsid w:val="0063674D"/>
    <w:rsid w:val="00636C91"/>
    <w:rsid w:val="0063734B"/>
    <w:rsid w:val="006375F2"/>
    <w:rsid w:val="0063774B"/>
    <w:rsid w:val="00637D65"/>
    <w:rsid w:val="006428C9"/>
    <w:rsid w:val="00642EA6"/>
    <w:rsid w:val="006430B2"/>
    <w:rsid w:val="006430CE"/>
    <w:rsid w:val="00643BA8"/>
    <w:rsid w:val="00643BF6"/>
    <w:rsid w:val="006443C0"/>
    <w:rsid w:val="006444AE"/>
    <w:rsid w:val="006446DE"/>
    <w:rsid w:val="00644B52"/>
    <w:rsid w:val="00644E81"/>
    <w:rsid w:val="00644EC8"/>
    <w:rsid w:val="00645046"/>
    <w:rsid w:val="00645354"/>
    <w:rsid w:val="0064596B"/>
    <w:rsid w:val="006465E5"/>
    <w:rsid w:val="0064662D"/>
    <w:rsid w:val="00646909"/>
    <w:rsid w:val="00646B75"/>
    <w:rsid w:val="00646B8C"/>
    <w:rsid w:val="00646DEE"/>
    <w:rsid w:val="00647E90"/>
    <w:rsid w:val="0065066A"/>
    <w:rsid w:val="00651033"/>
    <w:rsid w:val="006516F3"/>
    <w:rsid w:val="006521B3"/>
    <w:rsid w:val="0065259C"/>
    <w:rsid w:val="00652DF8"/>
    <w:rsid w:val="0065490D"/>
    <w:rsid w:val="006551BE"/>
    <w:rsid w:val="0065578B"/>
    <w:rsid w:val="00655BE3"/>
    <w:rsid w:val="00655DF6"/>
    <w:rsid w:val="0065619D"/>
    <w:rsid w:val="00656774"/>
    <w:rsid w:val="00656B97"/>
    <w:rsid w:val="00660B83"/>
    <w:rsid w:val="00660FD5"/>
    <w:rsid w:val="00661C56"/>
    <w:rsid w:val="00662BE2"/>
    <w:rsid w:val="00662DAB"/>
    <w:rsid w:val="00662DF6"/>
    <w:rsid w:val="00664977"/>
    <w:rsid w:val="00664CA8"/>
    <w:rsid w:val="00665AB7"/>
    <w:rsid w:val="00665ED9"/>
    <w:rsid w:val="0066620A"/>
    <w:rsid w:val="006662E7"/>
    <w:rsid w:val="006662F2"/>
    <w:rsid w:val="0066655E"/>
    <w:rsid w:val="006665AA"/>
    <w:rsid w:val="00666B91"/>
    <w:rsid w:val="00666F19"/>
    <w:rsid w:val="0066758A"/>
    <w:rsid w:val="0066797F"/>
    <w:rsid w:val="00667A2D"/>
    <w:rsid w:val="00667A8C"/>
    <w:rsid w:val="00667C5C"/>
    <w:rsid w:val="00667DB9"/>
    <w:rsid w:val="00670C65"/>
    <w:rsid w:val="0067116F"/>
    <w:rsid w:val="00671451"/>
    <w:rsid w:val="00671618"/>
    <w:rsid w:val="00671BF7"/>
    <w:rsid w:val="006728AC"/>
    <w:rsid w:val="00672A03"/>
    <w:rsid w:val="00672CEA"/>
    <w:rsid w:val="00672DAA"/>
    <w:rsid w:val="00673225"/>
    <w:rsid w:val="006733C0"/>
    <w:rsid w:val="00674541"/>
    <w:rsid w:val="0067488B"/>
    <w:rsid w:val="006749A2"/>
    <w:rsid w:val="00674CD9"/>
    <w:rsid w:val="00674E9A"/>
    <w:rsid w:val="006752FB"/>
    <w:rsid w:val="00675324"/>
    <w:rsid w:val="00675565"/>
    <w:rsid w:val="0067568F"/>
    <w:rsid w:val="00675CA2"/>
    <w:rsid w:val="00675E65"/>
    <w:rsid w:val="00676306"/>
    <w:rsid w:val="0067640C"/>
    <w:rsid w:val="006764D6"/>
    <w:rsid w:val="0067660C"/>
    <w:rsid w:val="006768F7"/>
    <w:rsid w:val="00676B88"/>
    <w:rsid w:val="00676D53"/>
    <w:rsid w:val="006777FE"/>
    <w:rsid w:val="006779C0"/>
    <w:rsid w:val="00677A30"/>
    <w:rsid w:val="00680C93"/>
    <w:rsid w:val="00680F3A"/>
    <w:rsid w:val="006822EF"/>
    <w:rsid w:val="006825FE"/>
    <w:rsid w:val="00682634"/>
    <w:rsid w:val="006829EF"/>
    <w:rsid w:val="00682AB4"/>
    <w:rsid w:val="00682DA1"/>
    <w:rsid w:val="006836B0"/>
    <w:rsid w:val="00683E05"/>
    <w:rsid w:val="006846A1"/>
    <w:rsid w:val="00684D4C"/>
    <w:rsid w:val="00685259"/>
    <w:rsid w:val="00685306"/>
    <w:rsid w:val="00685363"/>
    <w:rsid w:val="00685A43"/>
    <w:rsid w:val="00685F3A"/>
    <w:rsid w:val="0068665A"/>
    <w:rsid w:val="00686C59"/>
    <w:rsid w:val="00686DFB"/>
    <w:rsid w:val="0068723B"/>
    <w:rsid w:val="0068774E"/>
    <w:rsid w:val="00687925"/>
    <w:rsid w:val="00687CF1"/>
    <w:rsid w:val="00690DE5"/>
    <w:rsid w:val="00690F9F"/>
    <w:rsid w:val="00690FCD"/>
    <w:rsid w:val="00691303"/>
    <w:rsid w:val="00691BC4"/>
    <w:rsid w:val="00691CA5"/>
    <w:rsid w:val="00691D74"/>
    <w:rsid w:val="00692165"/>
    <w:rsid w:val="0069239E"/>
    <w:rsid w:val="00692400"/>
    <w:rsid w:val="006928C1"/>
    <w:rsid w:val="006939C4"/>
    <w:rsid w:val="00693DB0"/>
    <w:rsid w:val="00693E71"/>
    <w:rsid w:val="00694298"/>
    <w:rsid w:val="00694AC3"/>
    <w:rsid w:val="006950CB"/>
    <w:rsid w:val="00695E3D"/>
    <w:rsid w:val="006960BC"/>
    <w:rsid w:val="0069634E"/>
    <w:rsid w:val="006A0290"/>
    <w:rsid w:val="006A0327"/>
    <w:rsid w:val="006A0900"/>
    <w:rsid w:val="006A0AE1"/>
    <w:rsid w:val="006A0EBB"/>
    <w:rsid w:val="006A0F16"/>
    <w:rsid w:val="006A11C0"/>
    <w:rsid w:val="006A12AB"/>
    <w:rsid w:val="006A282B"/>
    <w:rsid w:val="006A2DC7"/>
    <w:rsid w:val="006A3A16"/>
    <w:rsid w:val="006A3E5E"/>
    <w:rsid w:val="006A4130"/>
    <w:rsid w:val="006A42E0"/>
    <w:rsid w:val="006A4303"/>
    <w:rsid w:val="006A48AA"/>
    <w:rsid w:val="006A4A7D"/>
    <w:rsid w:val="006A520D"/>
    <w:rsid w:val="006A57F2"/>
    <w:rsid w:val="006A5C80"/>
    <w:rsid w:val="006A692E"/>
    <w:rsid w:val="006A7034"/>
    <w:rsid w:val="006A71B9"/>
    <w:rsid w:val="006A7369"/>
    <w:rsid w:val="006B0533"/>
    <w:rsid w:val="006B06A3"/>
    <w:rsid w:val="006B07BD"/>
    <w:rsid w:val="006B0FFA"/>
    <w:rsid w:val="006B127C"/>
    <w:rsid w:val="006B14B6"/>
    <w:rsid w:val="006B14C2"/>
    <w:rsid w:val="006B14CB"/>
    <w:rsid w:val="006B1A60"/>
    <w:rsid w:val="006B21AF"/>
    <w:rsid w:val="006B24D6"/>
    <w:rsid w:val="006B29A1"/>
    <w:rsid w:val="006B2C3B"/>
    <w:rsid w:val="006B2D70"/>
    <w:rsid w:val="006B32CD"/>
    <w:rsid w:val="006B3497"/>
    <w:rsid w:val="006B34B5"/>
    <w:rsid w:val="006B44CB"/>
    <w:rsid w:val="006B457E"/>
    <w:rsid w:val="006B463A"/>
    <w:rsid w:val="006B469B"/>
    <w:rsid w:val="006B4B13"/>
    <w:rsid w:val="006B4B61"/>
    <w:rsid w:val="006B559B"/>
    <w:rsid w:val="006B5835"/>
    <w:rsid w:val="006B59D7"/>
    <w:rsid w:val="006B5F7B"/>
    <w:rsid w:val="006B728B"/>
    <w:rsid w:val="006B7915"/>
    <w:rsid w:val="006B7F89"/>
    <w:rsid w:val="006C0094"/>
    <w:rsid w:val="006C0269"/>
    <w:rsid w:val="006C0F0B"/>
    <w:rsid w:val="006C108C"/>
    <w:rsid w:val="006C2B2B"/>
    <w:rsid w:val="006C32F1"/>
    <w:rsid w:val="006C41DA"/>
    <w:rsid w:val="006C49B6"/>
    <w:rsid w:val="006C4BFD"/>
    <w:rsid w:val="006C4CB7"/>
    <w:rsid w:val="006C4E64"/>
    <w:rsid w:val="006C527B"/>
    <w:rsid w:val="006C5568"/>
    <w:rsid w:val="006C6044"/>
    <w:rsid w:val="006C6803"/>
    <w:rsid w:val="006C6D69"/>
    <w:rsid w:val="006C6F0E"/>
    <w:rsid w:val="006C7892"/>
    <w:rsid w:val="006C7C82"/>
    <w:rsid w:val="006C7E42"/>
    <w:rsid w:val="006C7E4C"/>
    <w:rsid w:val="006D020C"/>
    <w:rsid w:val="006D02F5"/>
    <w:rsid w:val="006D0F16"/>
    <w:rsid w:val="006D0F2F"/>
    <w:rsid w:val="006D105C"/>
    <w:rsid w:val="006D1ACB"/>
    <w:rsid w:val="006D1B09"/>
    <w:rsid w:val="006D1CD9"/>
    <w:rsid w:val="006D2088"/>
    <w:rsid w:val="006D24E2"/>
    <w:rsid w:val="006D3125"/>
    <w:rsid w:val="006D359A"/>
    <w:rsid w:val="006D450B"/>
    <w:rsid w:val="006D4590"/>
    <w:rsid w:val="006D46D2"/>
    <w:rsid w:val="006D4F99"/>
    <w:rsid w:val="006D589F"/>
    <w:rsid w:val="006D6141"/>
    <w:rsid w:val="006D651A"/>
    <w:rsid w:val="006D6BDF"/>
    <w:rsid w:val="006D75D1"/>
    <w:rsid w:val="006D7DB7"/>
    <w:rsid w:val="006E000F"/>
    <w:rsid w:val="006E024A"/>
    <w:rsid w:val="006E0F6D"/>
    <w:rsid w:val="006E164F"/>
    <w:rsid w:val="006E168B"/>
    <w:rsid w:val="006E19D8"/>
    <w:rsid w:val="006E1C56"/>
    <w:rsid w:val="006E2246"/>
    <w:rsid w:val="006E22EE"/>
    <w:rsid w:val="006E2B23"/>
    <w:rsid w:val="006E2DDB"/>
    <w:rsid w:val="006E2DF2"/>
    <w:rsid w:val="006E33DB"/>
    <w:rsid w:val="006E3E85"/>
    <w:rsid w:val="006E3F03"/>
    <w:rsid w:val="006E3F95"/>
    <w:rsid w:val="006E40B2"/>
    <w:rsid w:val="006E4680"/>
    <w:rsid w:val="006E4760"/>
    <w:rsid w:val="006E4C5A"/>
    <w:rsid w:val="006E53BC"/>
    <w:rsid w:val="006E5963"/>
    <w:rsid w:val="006E5965"/>
    <w:rsid w:val="006E5B5B"/>
    <w:rsid w:val="006E67F5"/>
    <w:rsid w:val="006E6D6E"/>
    <w:rsid w:val="006E6FA7"/>
    <w:rsid w:val="006E6FFB"/>
    <w:rsid w:val="006E7470"/>
    <w:rsid w:val="006E7AB6"/>
    <w:rsid w:val="006E7B51"/>
    <w:rsid w:val="006F038A"/>
    <w:rsid w:val="006F03F6"/>
    <w:rsid w:val="006F05DB"/>
    <w:rsid w:val="006F0D4F"/>
    <w:rsid w:val="006F11EC"/>
    <w:rsid w:val="006F13A4"/>
    <w:rsid w:val="006F1AA1"/>
    <w:rsid w:val="006F1BE9"/>
    <w:rsid w:val="006F1C12"/>
    <w:rsid w:val="006F1DDD"/>
    <w:rsid w:val="006F203A"/>
    <w:rsid w:val="006F257B"/>
    <w:rsid w:val="006F33FC"/>
    <w:rsid w:val="006F38EB"/>
    <w:rsid w:val="006F3DD6"/>
    <w:rsid w:val="006F3F33"/>
    <w:rsid w:val="006F4560"/>
    <w:rsid w:val="006F45B1"/>
    <w:rsid w:val="006F4A27"/>
    <w:rsid w:val="006F4A68"/>
    <w:rsid w:val="006F4B9A"/>
    <w:rsid w:val="006F4C8A"/>
    <w:rsid w:val="006F50A0"/>
    <w:rsid w:val="006F566E"/>
    <w:rsid w:val="006F5B87"/>
    <w:rsid w:val="006F5D4E"/>
    <w:rsid w:val="006F5E27"/>
    <w:rsid w:val="006F60BE"/>
    <w:rsid w:val="006F639F"/>
    <w:rsid w:val="006F64C8"/>
    <w:rsid w:val="006F689B"/>
    <w:rsid w:val="006F6BF7"/>
    <w:rsid w:val="00700549"/>
    <w:rsid w:val="00700629"/>
    <w:rsid w:val="00700A1D"/>
    <w:rsid w:val="00700D1B"/>
    <w:rsid w:val="00700ECE"/>
    <w:rsid w:val="00701444"/>
    <w:rsid w:val="0070197D"/>
    <w:rsid w:val="00702150"/>
    <w:rsid w:val="0070271F"/>
    <w:rsid w:val="00702859"/>
    <w:rsid w:val="00702CF7"/>
    <w:rsid w:val="00703016"/>
    <w:rsid w:val="007036D6"/>
    <w:rsid w:val="007038CC"/>
    <w:rsid w:val="00704442"/>
    <w:rsid w:val="00704846"/>
    <w:rsid w:val="007051C3"/>
    <w:rsid w:val="00705A3A"/>
    <w:rsid w:val="00705C8B"/>
    <w:rsid w:val="007065C2"/>
    <w:rsid w:val="00706853"/>
    <w:rsid w:val="00706ACE"/>
    <w:rsid w:val="00706DA9"/>
    <w:rsid w:val="00706EED"/>
    <w:rsid w:val="007071CB"/>
    <w:rsid w:val="007077A0"/>
    <w:rsid w:val="00710166"/>
    <w:rsid w:val="007102D6"/>
    <w:rsid w:val="0071058E"/>
    <w:rsid w:val="00710897"/>
    <w:rsid w:val="00710C26"/>
    <w:rsid w:val="00711249"/>
    <w:rsid w:val="00711467"/>
    <w:rsid w:val="00711A14"/>
    <w:rsid w:val="00711BEB"/>
    <w:rsid w:val="00711C0C"/>
    <w:rsid w:val="00711C5F"/>
    <w:rsid w:val="00711F28"/>
    <w:rsid w:val="00712127"/>
    <w:rsid w:val="00712415"/>
    <w:rsid w:val="00712931"/>
    <w:rsid w:val="00712CE2"/>
    <w:rsid w:val="00712D0E"/>
    <w:rsid w:val="00713DAD"/>
    <w:rsid w:val="00713E3A"/>
    <w:rsid w:val="0071446A"/>
    <w:rsid w:val="00714698"/>
    <w:rsid w:val="0071512B"/>
    <w:rsid w:val="007151E6"/>
    <w:rsid w:val="00715513"/>
    <w:rsid w:val="00715E6C"/>
    <w:rsid w:val="00716284"/>
    <w:rsid w:val="00716496"/>
    <w:rsid w:val="00716533"/>
    <w:rsid w:val="0071689D"/>
    <w:rsid w:val="00716A0D"/>
    <w:rsid w:val="00717514"/>
    <w:rsid w:val="00717946"/>
    <w:rsid w:val="0071794B"/>
    <w:rsid w:val="00720A70"/>
    <w:rsid w:val="00720B1F"/>
    <w:rsid w:val="007219E7"/>
    <w:rsid w:val="00721C83"/>
    <w:rsid w:val="007224D6"/>
    <w:rsid w:val="0072291A"/>
    <w:rsid w:val="00722E28"/>
    <w:rsid w:val="0072339A"/>
    <w:rsid w:val="007233FD"/>
    <w:rsid w:val="00724082"/>
    <w:rsid w:val="007249C0"/>
    <w:rsid w:val="007259AA"/>
    <w:rsid w:val="00725A6C"/>
    <w:rsid w:val="00725F6F"/>
    <w:rsid w:val="00726855"/>
    <w:rsid w:val="00726D7F"/>
    <w:rsid w:val="00726DB9"/>
    <w:rsid w:val="00727080"/>
    <w:rsid w:val="007270D2"/>
    <w:rsid w:val="007279A7"/>
    <w:rsid w:val="00730EB6"/>
    <w:rsid w:val="007319C3"/>
    <w:rsid w:val="007321FF"/>
    <w:rsid w:val="007324C7"/>
    <w:rsid w:val="007325CC"/>
    <w:rsid w:val="00732798"/>
    <w:rsid w:val="00733204"/>
    <w:rsid w:val="00733239"/>
    <w:rsid w:val="007337CA"/>
    <w:rsid w:val="00733AA6"/>
    <w:rsid w:val="00733B6B"/>
    <w:rsid w:val="00734624"/>
    <w:rsid w:val="00734677"/>
    <w:rsid w:val="00734829"/>
    <w:rsid w:val="00735A72"/>
    <w:rsid w:val="00736751"/>
    <w:rsid w:val="007368CB"/>
    <w:rsid w:val="00736E65"/>
    <w:rsid w:val="00736F5A"/>
    <w:rsid w:val="007373AE"/>
    <w:rsid w:val="00737433"/>
    <w:rsid w:val="00737E45"/>
    <w:rsid w:val="00737EB7"/>
    <w:rsid w:val="007408EB"/>
    <w:rsid w:val="00741648"/>
    <w:rsid w:val="0074191F"/>
    <w:rsid w:val="0074194F"/>
    <w:rsid w:val="00741D67"/>
    <w:rsid w:val="0074251D"/>
    <w:rsid w:val="007427F7"/>
    <w:rsid w:val="00742ACA"/>
    <w:rsid w:val="00742B3B"/>
    <w:rsid w:val="00743067"/>
    <w:rsid w:val="00743168"/>
    <w:rsid w:val="00743B46"/>
    <w:rsid w:val="00743CA8"/>
    <w:rsid w:val="00743D8B"/>
    <w:rsid w:val="007442D9"/>
    <w:rsid w:val="0074459A"/>
    <w:rsid w:val="00744F85"/>
    <w:rsid w:val="0074503B"/>
    <w:rsid w:val="007450FB"/>
    <w:rsid w:val="00745944"/>
    <w:rsid w:val="00745C65"/>
    <w:rsid w:val="00745DCA"/>
    <w:rsid w:val="00745FCC"/>
    <w:rsid w:val="00746413"/>
    <w:rsid w:val="00746931"/>
    <w:rsid w:val="00746EAB"/>
    <w:rsid w:val="007470BA"/>
    <w:rsid w:val="0074722C"/>
    <w:rsid w:val="00747C58"/>
    <w:rsid w:val="007505FA"/>
    <w:rsid w:val="0075139D"/>
    <w:rsid w:val="007513DD"/>
    <w:rsid w:val="007518D2"/>
    <w:rsid w:val="00751C10"/>
    <w:rsid w:val="00751EE9"/>
    <w:rsid w:val="00752714"/>
    <w:rsid w:val="00752CEF"/>
    <w:rsid w:val="00752D2F"/>
    <w:rsid w:val="007532AD"/>
    <w:rsid w:val="007533B4"/>
    <w:rsid w:val="007533E2"/>
    <w:rsid w:val="0075392B"/>
    <w:rsid w:val="007554EF"/>
    <w:rsid w:val="0075645A"/>
    <w:rsid w:val="00756515"/>
    <w:rsid w:val="00756712"/>
    <w:rsid w:val="00756D20"/>
    <w:rsid w:val="00757024"/>
    <w:rsid w:val="00760947"/>
    <w:rsid w:val="00761E68"/>
    <w:rsid w:val="007624EB"/>
    <w:rsid w:val="00762810"/>
    <w:rsid w:val="00762880"/>
    <w:rsid w:val="00762EFF"/>
    <w:rsid w:val="00762F89"/>
    <w:rsid w:val="007634DD"/>
    <w:rsid w:val="00763963"/>
    <w:rsid w:val="00763A4F"/>
    <w:rsid w:val="0076443E"/>
    <w:rsid w:val="0076482E"/>
    <w:rsid w:val="007648A6"/>
    <w:rsid w:val="007649D5"/>
    <w:rsid w:val="00764CE9"/>
    <w:rsid w:val="00764DA1"/>
    <w:rsid w:val="00764DF4"/>
    <w:rsid w:val="0076529C"/>
    <w:rsid w:val="00765A7D"/>
    <w:rsid w:val="0076617A"/>
    <w:rsid w:val="007663D0"/>
    <w:rsid w:val="00766714"/>
    <w:rsid w:val="00767203"/>
    <w:rsid w:val="00767B70"/>
    <w:rsid w:val="00767BAD"/>
    <w:rsid w:val="007701B3"/>
    <w:rsid w:val="0077032F"/>
    <w:rsid w:val="007706E3"/>
    <w:rsid w:val="0077076C"/>
    <w:rsid w:val="0077079D"/>
    <w:rsid w:val="00770875"/>
    <w:rsid w:val="00770AAC"/>
    <w:rsid w:val="00770FF7"/>
    <w:rsid w:val="00772F11"/>
    <w:rsid w:val="00773436"/>
    <w:rsid w:val="0077357D"/>
    <w:rsid w:val="00773F71"/>
    <w:rsid w:val="007741CF"/>
    <w:rsid w:val="007742B0"/>
    <w:rsid w:val="00774A10"/>
    <w:rsid w:val="00774AD5"/>
    <w:rsid w:val="00775155"/>
    <w:rsid w:val="0077613C"/>
    <w:rsid w:val="007767DC"/>
    <w:rsid w:val="00776D66"/>
    <w:rsid w:val="00777552"/>
    <w:rsid w:val="00777B39"/>
    <w:rsid w:val="00777E2F"/>
    <w:rsid w:val="007800D0"/>
    <w:rsid w:val="00780215"/>
    <w:rsid w:val="00780867"/>
    <w:rsid w:val="00780BA4"/>
    <w:rsid w:val="00780E2A"/>
    <w:rsid w:val="00781EB3"/>
    <w:rsid w:val="007821FB"/>
    <w:rsid w:val="007822C0"/>
    <w:rsid w:val="0078282A"/>
    <w:rsid w:val="00782896"/>
    <w:rsid w:val="00782A51"/>
    <w:rsid w:val="00783762"/>
    <w:rsid w:val="007842B5"/>
    <w:rsid w:val="00784A64"/>
    <w:rsid w:val="00785453"/>
    <w:rsid w:val="007855C7"/>
    <w:rsid w:val="0078561A"/>
    <w:rsid w:val="00785671"/>
    <w:rsid w:val="00785703"/>
    <w:rsid w:val="0078577B"/>
    <w:rsid w:val="00785F75"/>
    <w:rsid w:val="0078682B"/>
    <w:rsid w:val="00786BA6"/>
    <w:rsid w:val="00786C82"/>
    <w:rsid w:val="00786D23"/>
    <w:rsid w:val="00787069"/>
    <w:rsid w:val="007874D5"/>
    <w:rsid w:val="00787CDC"/>
    <w:rsid w:val="0079059D"/>
    <w:rsid w:val="00790832"/>
    <w:rsid w:val="007909AB"/>
    <w:rsid w:val="00790A09"/>
    <w:rsid w:val="00791BBC"/>
    <w:rsid w:val="0079210F"/>
    <w:rsid w:val="00792C38"/>
    <w:rsid w:val="00792CD4"/>
    <w:rsid w:val="00792DCE"/>
    <w:rsid w:val="00792E7A"/>
    <w:rsid w:val="007943C3"/>
    <w:rsid w:val="007943EF"/>
    <w:rsid w:val="007947F1"/>
    <w:rsid w:val="007948E2"/>
    <w:rsid w:val="00794A87"/>
    <w:rsid w:val="00794FB6"/>
    <w:rsid w:val="007950E1"/>
    <w:rsid w:val="00795319"/>
    <w:rsid w:val="007958BF"/>
    <w:rsid w:val="00795CD1"/>
    <w:rsid w:val="00795D2E"/>
    <w:rsid w:val="00796369"/>
    <w:rsid w:val="0079674C"/>
    <w:rsid w:val="007967EA"/>
    <w:rsid w:val="007968E7"/>
    <w:rsid w:val="00796C92"/>
    <w:rsid w:val="00796DAD"/>
    <w:rsid w:val="0079734B"/>
    <w:rsid w:val="00797B31"/>
    <w:rsid w:val="00797BE2"/>
    <w:rsid w:val="00797F72"/>
    <w:rsid w:val="007A0303"/>
    <w:rsid w:val="007A04E8"/>
    <w:rsid w:val="007A10B3"/>
    <w:rsid w:val="007A13B4"/>
    <w:rsid w:val="007A16E3"/>
    <w:rsid w:val="007A17EE"/>
    <w:rsid w:val="007A1C48"/>
    <w:rsid w:val="007A1F1E"/>
    <w:rsid w:val="007A2601"/>
    <w:rsid w:val="007A2AFD"/>
    <w:rsid w:val="007A2FAC"/>
    <w:rsid w:val="007A3303"/>
    <w:rsid w:val="007A33BE"/>
    <w:rsid w:val="007A37FB"/>
    <w:rsid w:val="007A44DA"/>
    <w:rsid w:val="007A47DF"/>
    <w:rsid w:val="007A4A6A"/>
    <w:rsid w:val="007A4BEC"/>
    <w:rsid w:val="007A4F5F"/>
    <w:rsid w:val="007A51A6"/>
    <w:rsid w:val="007A51CC"/>
    <w:rsid w:val="007A53A9"/>
    <w:rsid w:val="007A5F1B"/>
    <w:rsid w:val="007A6173"/>
    <w:rsid w:val="007A675B"/>
    <w:rsid w:val="007A6B8A"/>
    <w:rsid w:val="007A6DC6"/>
    <w:rsid w:val="007A755B"/>
    <w:rsid w:val="007A75CF"/>
    <w:rsid w:val="007A7982"/>
    <w:rsid w:val="007A7F2E"/>
    <w:rsid w:val="007B04D0"/>
    <w:rsid w:val="007B0656"/>
    <w:rsid w:val="007B0B93"/>
    <w:rsid w:val="007B0C33"/>
    <w:rsid w:val="007B1107"/>
    <w:rsid w:val="007B119D"/>
    <w:rsid w:val="007B1342"/>
    <w:rsid w:val="007B18DD"/>
    <w:rsid w:val="007B1AFA"/>
    <w:rsid w:val="007B2835"/>
    <w:rsid w:val="007B313C"/>
    <w:rsid w:val="007B33F8"/>
    <w:rsid w:val="007B3456"/>
    <w:rsid w:val="007B3DFE"/>
    <w:rsid w:val="007B3EE6"/>
    <w:rsid w:val="007B43E0"/>
    <w:rsid w:val="007B49A7"/>
    <w:rsid w:val="007B539F"/>
    <w:rsid w:val="007B5A26"/>
    <w:rsid w:val="007B5AC6"/>
    <w:rsid w:val="007B5B0B"/>
    <w:rsid w:val="007B62EF"/>
    <w:rsid w:val="007B6416"/>
    <w:rsid w:val="007B69AC"/>
    <w:rsid w:val="007B6A5F"/>
    <w:rsid w:val="007B6A65"/>
    <w:rsid w:val="007B6CA4"/>
    <w:rsid w:val="007B7007"/>
    <w:rsid w:val="007B7384"/>
    <w:rsid w:val="007B7D05"/>
    <w:rsid w:val="007C0222"/>
    <w:rsid w:val="007C0270"/>
    <w:rsid w:val="007C03A8"/>
    <w:rsid w:val="007C1047"/>
    <w:rsid w:val="007C11D6"/>
    <w:rsid w:val="007C123F"/>
    <w:rsid w:val="007C2A91"/>
    <w:rsid w:val="007C342C"/>
    <w:rsid w:val="007C3459"/>
    <w:rsid w:val="007C3821"/>
    <w:rsid w:val="007C3937"/>
    <w:rsid w:val="007C4E52"/>
    <w:rsid w:val="007C54A2"/>
    <w:rsid w:val="007C54B9"/>
    <w:rsid w:val="007C5B70"/>
    <w:rsid w:val="007C5DC5"/>
    <w:rsid w:val="007C5F24"/>
    <w:rsid w:val="007C63C5"/>
    <w:rsid w:val="007C6738"/>
    <w:rsid w:val="007C6ADA"/>
    <w:rsid w:val="007C7009"/>
    <w:rsid w:val="007C7202"/>
    <w:rsid w:val="007C731F"/>
    <w:rsid w:val="007C7386"/>
    <w:rsid w:val="007C76F9"/>
    <w:rsid w:val="007C7BD4"/>
    <w:rsid w:val="007D0B1A"/>
    <w:rsid w:val="007D0BD9"/>
    <w:rsid w:val="007D13CB"/>
    <w:rsid w:val="007D16E3"/>
    <w:rsid w:val="007D1EEC"/>
    <w:rsid w:val="007D31F6"/>
    <w:rsid w:val="007D3564"/>
    <w:rsid w:val="007D3864"/>
    <w:rsid w:val="007D3DC1"/>
    <w:rsid w:val="007D404D"/>
    <w:rsid w:val="007D4198"/>
    <w:rsid w:val="007D436F"/>
    <w:rsid w:val="007D4393"/>
    <w:rsid w:val="007D47B3"/>
    <w:rsid w:val="007D48AD"/>
    <w:rsid w:val="007D4961"/>
    <w:rsid w:val="007D4A03"/>
    <w:rsid w:val="007D509C"/>
    <w:rsid w:val="007D52D8"/>
    <w:rsid w:val="007D627D"/>
    <w:rsid w:val="007D639C"/>
    <w:rsid w:val="007D69AF"/>
    <w:rsid w:val="007D72B4"/>
    <w:rsid w:val="007D7411"/>
    <w:rsid w:val="007D7718"/>
    <w:rsid w:val="007D7EDA"/>
    <w:rsid w:val="007E0DCD"/>
    <w:rsid w:val="007E0DCF"/>
    <w:rsid w:val="007E12E2"/>
    <w:rsid w:val="007E12F5"/>
    <w:rsid w:val="007E135E"/>
    <w:rsid w:val="007E1439"/>
    <w:rsid w:val="007E1B41"/>
    <w:rsid w:val="007E1C93"/>
    <w:rsid w:val="007E204E"/>
    <w:rsid w:val="007E20B5"/>
    <w:rsid w:val="007E236D"/>
    <w:rsid w:val="007E2423"/>
    <w:rsid w:val="007E2DC5"/>
    <w:rsid w:val="007E3263"/>
    <w:rsid w:val="007E334B"/>
    <w:rsid w:val="007E3C84"/>
    <w:rsid w:val="007E4861"/>
    <w:rsid w:val="007E4C77"/>
    <w:rsid w:val="007E51A1"/>
    <w:rsid w:val="007E584B"/>
    <w:rsid w:val="007E5A07"/>
    <w:rsid w:val="007E5DDB"/>
    <w:rsid w:val="007E69E3"/>
    <w:rsid w:val="007E6DC0"/>
    <w:rsid w:val="007E6E63"/>
    <w:rsid w:val="007E701A"/>
    <w:rsid w:val="007E70E2"/>
    <w:rsid w:val="007E7152"/>
    <w:rsid w:val="007E716E"/>
    <w:rsid w:val="007E7188"/>
    <w:rsid w:val="007E7438"/>
    <w:rsid w:val="007E7452"/>
    <w:rsid w:val="007E7B23"/>
    <w:rsid w:val="007F01E3"/>
    <w:rsid w:val="007F0BFD"/>
    <w:rsid w:val="007F0D38"/>
    <w:rsid w:val="007F0E60"/>
    <w:rsid w:val="007F138E"/>
    <w:rsid w:val="007F159F"/>
    <w:rsid w:val="007F1EA7"/>
    <w:rsid w:val="007F2026"/>
    <w:rsid w:val="007F246A"/>
    <w:rsid w:val="007F2B98"/>
    <w:rsid w:val="007F2F95"/>
    <w:rsid w:val="007F3779"/>
    <w:rsid w:val="007F395D"/>
    <w:rsid w:val="007F3C69"/>
    <w:rsid w:val="007F3F38"/>
    <w:rsid w:val="007F464E"/>
    <w:rsid w:val="007F4796"/>
    <w:rsid w:val="007F4B52"/>
    <w:rsid w:val="007F4CE3"/>
    <w:rsid w:val="007F54A5"/>
    <w:rsid w:val="007F55BA"/>
    <w:rsid w:val="007F5922"/>
    <w:rsid w:val="007F5E5F"/>
    <w:rsid w:val="007F611D"/>
    <w:rsid w:val="007F629C"/>
    <w:rsid w:val="007F63EA"/>
    <w:rsid w:val="007F640E"/>
    <w:rsid w:val="007F6776"/>
    <w:rsid w:val="007F6DCD"/>
    <w:rsid w:val="007F6FDB"/>
    <w:rsid w:val="007F746F"/>
    <w:rsid w:val="007F7555"/>
    <w:rsid w:val="00801142"/>
    <w:rsid w:val="008011C8"/>
    <w:rsid w:val="008011F3"/>
    <w:rsid w:val="00801481"/>
    <w:rsid w:val="00801A08"/>
    <w:rsid w:val="00801C4E"/>
    <w:rsid w:val="008020A0"/>
    <w:rsid w:val="008022FC"/>
    <w:rsid w:val="00802716"/>
    <w:rsid w:val="008029E2"/>
    <w:rsid w:val="00802B52"/>
    <w:rsid w:val="00803345"/>
    <w:rsid w:val="00803A04"/>
    <w:rsid w:val="008041D1"/>
    <w:rsid w:val="0080459C"/>
    <w:rsid w:val="00805E6E"/>
    <w:rsid w:val="008072EC"/>
    <w:rsid w:val="00807300"/>
    <w:rsid w:val="008073DD"/>
    <w:rsid w:val="008078D8"/>
    <w:rsid w:val="00807962"/>
    <w:rsid w:val="00807E61"/>
    <w:rsid w:val="00807EA2"/>
    <w:rsid w:val="00810188"/>
    <w:rsid w:val="00810782"/>
    <w:rsid w:val="00810BCB"/>
    <w:rsid w:val="00812263"/>
    <w:rsid w:val="00812EC8"/>
    <w:rsid w:val="00814038"/>
    <w:rsid w:val="0081462C"/>
    <w:rsid w:val="0081499D"/>
    <w:rsid w:val="008151C1"/>
    <w:rsid w:val="00815688"/>
    <w:rsid w:val="008164EF"/>
    <w:rsid w:val="0081711D"/>
    <w:rsid w:val="0081738F"/>
    <w:rsid w:val="008175B9"/>
    <w:rsid w:val="00817B77"/>
    <w:rsid w:val="0082025B"/>
    <w:rsid w:val="0082044E"/>
    <w:rsid w:val="00820724"/>
    <w:rsid w:val="008207BF"/>
    <w:rsid w:val="00820D08"/>
    <w:rsid w:val="0082125E"/>
    <w:rsid w:val="008212B3"/>
    <w:rsid w:val="00821409"/>
    <w:rsid w:val="0082160E"/>
    <w:rsid w:val="008216A5"/>
    <w:rsid w:val="008219AC"/>
    <w:rsid w:val="00822C39"/>
    <w:rsid w:val="00822CE8"/>
    <w:rsid w:val="00822E64"/>
    <w:rsid w:val="0082309C"/>
    <w:rsid w:val="00823247"/>
    <w:rsid w:val="008236D7"/>
    <w:rsid w:val="00823762"/>
    <w:rsid w:val="00824FF8"/>
    <w:rsid w:val="00825095"/>
    <w:rsid w:val="00825746"/>
    <w:rsid w:val="00825C70"/>
    <w:rsid w:val="00826507"/>
    <w:rsid w:val="00826FEB"/>
    <w:rsid w:val="00827964"/>
    <w:rsid w:val="00827D01"/>
    <w:rsid w:val="008304CF"/>
    <w:rsid w:val="00830A79"/>
    <w:rsid w:val="00830F29"/>
    <w:rsid w:val="00831AD0"/>
    <w:rsid w:val="00831BFA"/>
    <w:rsid w:val="00831E03"/>
    <w:rsid w:val="0083213E"/>
    <w:rsid w:val="00832D4D"/>
    <w:rsid w:val="00832E51"/>
    <w:rsid w:val="008337F7"/>
    <w:rsid w:val="0083396A"/>
    <w:rsid w:val="00833D44"/>
    <w:rsid w:val="008341AB"/>
    <w:rsid w:val="00834334"/>
    <w:rsid w:val="008345B9"/>
    <w:rsid w:val="008345CB"/>
    <w:rsid w:val="00834644"/>
    <w:rsid w:val="008348B7"/>
    <w:rsid w:val="008348C8"/>
    <w:rsid w:val="00834BB7"/>
    <w:rsid w:val="00834BC9"/>
    <w:rsid w:val="00834D31"/>
    <w:rsid w:val="00834DDD"/>
    <w:rsid w:val="008350D6"/>
    <w:rsid w:val="00835408"/>
    <w:rsid w:val="008358FC"/>
    <w:rsid w:val="00835F3D"/>
    <w:rsid w:val="00836188"/>
    <w:rsid w:val="00836829"/>
    <w:rsid w:val="008368BF"/>
    <w:rsid w:val="00836ACD"/>
    <w:rsid w:val="00836FC8"/>
    <w:rsid w:val="0083762F"/>
    <w:rsid w:val="00837CA1"/>
    <w:rsid w:val="00837DF4"/>
    <w:rsid w:val="008407AF"/>
    <w:rsid w:val="00840F8E"/>
    <w:rsid w:val="00840FCA"/>
    <w:rsid w:val="0084119F"/>
    <w:rsid w:val="00841CD4"/>
    <w:rsid w:val="00841FBA"/>
    <w:rsid w:val="00842401"/>
    <w:rsid w:val="00842485"/>
    <w:rsid w:val="008424C0"/>
    <w:rsid w:val="008427C7"/>
    <w:rsid w:val="00842D42"/>
    <w:rsid w:val="00842DAA"/>
    <w:rsid w:val="00843087"/>
    <w:rsid w:val="0084324B"/>
    <w:rsid w:val="00843823"/>
    <w:rsid w:val="00843E43"/>
    <w:rsid w:val="00843E85"/>
    <w:rsid w:val="008445AF"/>
    <w:rsid w:val="00844E71"/>
    <w:rsid w:val="00845C41"/>
    <w:rsid w:val="0084613C"/>
    <w:rsid w:val="0084649D"/>
    <w:rsid w:val="00846F32"/>
    <w:rsid w:val="00847197"/>
    <w:rsid w:val="008474B7"/>
    <w:rsid w:val="00847B62"/>
    <w:rsid w:val="00847C65"/>
    <w:rsid w:val="00847F5A"/>
    <w:rsid w:val="008503A1"/>
    <w:rsid w:val="00850648"/>
    <w:rsid w:val="0085120B"/>
    <w:rsid w:val="00852320"/>
    <w:rsid w:val="00852A68"/>
    <w:rsid w:val="00852BD7"/>
    <w:rsid w:val="00852CBB"/>
    <w:rsid w:val="0085330E"/>
    <w:rsid w:val="00853370"/>
    <w:rsid w:val="00853462"/>
    <w:rsid w:val="00853645"/>
    <w:rsid w:val="008538A7"/>
    <w:rsid w:val="00853ACF"/>
    <w:rsid w:val="008541D8"/>
    <w:rsid w:val="008547B2"/>
    <w:rsid w:val="0085495D"/>
    <w:rsid w:val="00855185"/>
    <w:rsid w:val="00855222"/>
    <w:rsid w:val="00855872"/>
    <w:rsid w:val="00855D17"/>
    <w:rsid w:val="00856647"/>
    <w:rsid w:val="00856884"/>
    <w:rsid w:val="00856AF0"/>
    <w:rsid w:val="00856CD9"/>
    <w:rsid w:val="00856E75"/>
    <w:rsid w:val="0085729E"/>
    <w:rsid w:val="00857A6F"/>
    <w:rsid w:val="008609D7"/>
    <w:rsid w:val="00860B1C"/>
    <w:rsid w:val="00860DF6"/>
    <w:rsid w:val="00861505"/>
    <w:rsid w:val="00861887"/>
    <w:rsid w:val="008628EB"/>
    <w:rsid w:val="008630F4"/>
    <w:rsid w:val="008634A9"/>
    <w:rsid w:val="008637AB"/>
    <w:rsid w:val="00863C6E"/>
    <w:rsid w:val="00865F45"/>
    <w:rsid w:val="00866A58"/>
    <w:rsid w:val="00866B2E"/>
    <w:rsid w:val="00866D93"/>
    <w:rsid w:val="008673C5"/>
    <w:rsid w:val="00867728"/>
    <w:rsid w:val="008679A6"/>
    <w:rsid w:val="008679D0"/>
    <w:rsid w:val="00867E64"/>
    <w:rsid w:val="008712D5"/>
    <w:rsid w:val="008715D0"/>
    <w:rsid w:val="0087175C"/>
    <w:rsid w:val="00871C9B"/>
    <w:rsid w:val="00871F79"/>
    <w:rsid w:val="00872045"/>
    <w:rsid w:val="008721A6"/>
    <w:rsid w:val="008724EC"/>
    <w:rsid w:val="008729A4"/>
    <w:rsid w:val="00872C13"/>
    <w:rsid w:val="00872CA8"/>
    <w:rsid w:val="00873208"/>
    <w:rsid w:val="00873274"/>
    <w:rsid w:val="00873735"/>
    <w:rsid w:val="00873779"/>
    <w:rsid w:val="00873901"/>
    <w:rsid w:val="008739F9"/>
    <w:rsid w:val="00873B72"/>
    <w:rsid w:val="00873E7F"/>
    <w:rsid w:val="00873EAB"/>
    <w:rsid w:val="00873FEF"/>
    <w:rsid w:val="00874AC9"/>
    <w:rsid w:val="008751C5"/>
    <w:rsid w:val="0087544B"/>
    <w:rsid w:val="0087570A"/>
    <w:rsid w:val="00875777"/>
    <w:rsid w:val="00875E6A"/>
    <w:rsid w:val="00876223"/>
    <w:rsid w:val="00876F5D"/>
    <w:rsid w:val="00877DB3"/>
    <w:rsid w:val="00877F18"/>
    <w:rsid w:val="008800F1"/>
    <w:rsid w:val="0088029E"/>
    <w:rsid w:val="00880504"/>
    <w:rsid w:val="00880B38"/>
    <w:rsid w:val="00880BCB"/>
    <w:rsid w:val="00880C13"/>
    <w:rsid w:val="0088152D"/>
    <w:rsid w:val="00881E56"/>
    <w:rsid w:val="008821A6"/>
    <w:rsid w:val="008838E5"/>
    <w:rsid w:val="00883AD0"/>
    <w:rsid w:val="00883C2F"/>
    <w:rsid w:val="00884A8F"/>
    <w:rsid w:val="0088559A"/>
    <w:rsid w:val="00886055"/>
    <w:rsid w:val="008869E2"/>
    <w:rsid w:val="00887D57"/>
    <w:rsid w:val="0089000D"/>
    <w:rsid w:val="00891727"/>
    <w:rsid w:val="00891B9A"/>
    <w:rsid w:val="00892554"/>
    <w:rsid w:val="008929F7"/>
    <w:rsid w:val="00892A31"/>
    <w:rsid w:val="00892DD0"/>
    <w:rsid w:val="008937CA"/>
    <w:rsid w:val="00893A9D"/>
    <w:rsid w:val="0089400B"/>
    <w:rsid w:val="0089487C"/>
    <w:rsid w:val="00895195"/>
    <w:rsid w:val="0089537C"/>
    <w:rsid w:val="0089581D"/>
    <w:rsid w:val="00895A67"/>
    <w:rsid w:val="00895DBB"/>
    <w:rsid w:val="00895E82"/>
    <w:rsid w:val="00896053"/>
    <w:rsid w:val="00896846"/>
    <w:rsid w:val="00896AA2"/>
    <w:rsid w:val="00896C85"/>
    <w:rsid w:val="00896D46"/>
    <w:rsid w:val="008972B8"/>
    <w:rsid w:val="00897585"/>
    <w:rsid w:val="008976CD"/>
    <w:rsid w:val="008A0131"/>
    <w:rsid w:val="008A0DBE"/>
    <w:rsid w:val="008A11A8"/>
    <w:rsid w:val="008A1317"/>
    <w:rsid w:val="008A1524"/>
    <w:rsid w:val="008A1CAE"/>
    <w:rsid w:val="008A2022"/>
    <w:rsid w:val="008A2BE3"/>
    <w:rsid w:val="008A3AFC"/>
    <w:rsid w:val="008A3B41"/>
    <w:rsid w:val="008A435E"/>
    <w:rsid w:val="008A43D7"/>
    <w:rsid w:val="008A4BA2"/>
    <w:rsid w:val="008A4EA7"/>
    <w:rsid w:val="008A5087"/>
    <w:rsid w:val="008A59FC"/>
    <w:rsid w:val="008A5C3B"/>
    <w:rsid w:val="008A6A43"/>
    <w:rsid w:val="008A6A4F"/>
    <w:rsid w:val="008A6BC8"/>
    <w:rsid w:val="008A6BF6"/>
    <w:rsid w:val="008A6CD3"/>
    <w:rsid w:val="008B050B"/>
    <w:rsid w:val="008B08DD"/>
    <w:rsid w:val="008B0B49"/>
    <w:rsid w:val="008B139C"/>
    <w:rsid w:val="008B1444"/>
    <w:rsid w:val="008B1467"/>
    <w:rsid w:val="008B16E4"/>
    <w:rsid w:val="008B18AE"/>
    <w:rsid w:val="008B197F"/>
    <w:rsid w:val="008B1ADE"/>
    <w:rsid w:val="008B1C04"/>
    <w:rsid w:val="008B1F2D"/>
    <w:rsid w:val="008B1F40"/>
    <w:rsid w:val="008B22CC"/>
    <w:rsid w:val="008B273C"/>
    <w:rsid w:val="008B27AA"/>
    <w:rsid w:val="008B2E8C"/>
    <w:rsid w:val="008B2F0A"/>
    <w:rsid w:val="008B3131"/>
    <w:rsid w:val="008B3DF0"/>
    <w:rsid w:val="008B3F3F"/>
    <w:rsid w:val="008B408F"/>
    <w:rsid w:val="008B43FF"/>
    <w:rsid w:val="008B453B"/>
    <w:rsid w:val="008B4644"/>
    <w:rsid w:val="008B4760"/>
    <w:rsid w:val="008B478C"/>
    <w:rsid w:val="008B4E11"/>
    <w:rsid w:val="008B4E9B"/>
    <w:rsid w:val="008B5119"/>
    <w:rsid w:val="008B51BB"/>
    <w:rsid w:val="008B536D"/>
    <w:rsid w:val="008B54DB"/>
    <w:rsid w:val="008B591F"/>
    <w:rsid w:val="008B5ADD"/>
    <w:rsid w:val="008B63FD"/>
    <w:rsid w:val="008B673C"/>
    <w:rsid w:val="008B69E4"/>
    <w:rsid w:val="008B6A15"/>
    <w:rsid w:val="008B6ABB"/>
    <w:rsid w:val="008B6D6A"/>
    <w:rsid w:val="008B731C"/>
    <w:rsid w:val="008B79B8"/>
    <w:rsid w:val="008B7A9D"/>
    <w:rsid w:val="008C025E"/>
    <w:rsid w:val="008C02A3"/>
    <w:rsid w:val="008C0615"/>
    <w:rsid w:val="008C1B31"/>
    <w:rsid w:val="008C21C4"/>
    <w:rsid w:val="008C2ACF"/>
    <w:rsid w:val="008C2B3C"/>
    <w:rsid w:val="008C3454"/>
    <w:rsid w:val="008C3FED"/>
    <w:rsid w:val="008C4579"/>
    <w:rsid w:val="008C4DF6"/>
    <w:rsid w:val="008C57CC"/>
    <w:rsid w:val="008C6947"/>
    <w:rsid w:val="008C6A08"/>
    <w:rsid w:val="008C7915"/>
    <w:rsid w:val="008C7AA4"/>
    <w:rsid w:val="008C7D9A"/>
    <w:rsid w:val="008D0377"/>
    <w:rsid w:val="008D060B"/>
    <w:rsid w:val="008D0720"/>
    <w:rsid w:val="008D0A39"/>
    <w:rsid w:val="008D12F1"/>
    <w:rsid w:val="008D1973"/>
    <w:rsid w:val="008D1985"/>
    <w:rsid w:val="008D1D94"/>
    <w:rsid w:val="008D1F22"/>
    <w:rsid w:val="008D214B"/>
    <w:rsid w:val="008D3563"/>
    <w:rsid w:val="008D3B03"/>
    <w:rsid w:val="008D3C73"/>
    <w:rsid w:val="008D406B"/>
    <w:rsid w:val="008D41BC"/>
    <w:rsid w:val="008D4323"/>
    <w:rsid w:val="008D4968"/>
    <w:rsid w:val="008D5394"/>
    <w:rsid w:val="008D677F"/>
    <w:rsid w:val="008D68E8"/>
    <w:rsid w:val="008D6BE8"/>
    <w:rsid w:val="008D7821"/>
    <w:rsid w:val="008E0623"/>
    <w:rsid w:val="008E1198"/>
    <w:rsid w:val="008E12D3"/>
    <w:rsid w:val="008E1302"/>
    <w:rsid w:val="008E164A"/>
    <w:rsid w:val="008E1D56"/>
    <w:rsid w:val="008E2440"/>
    <w:rsid w:val="008E24D6"/>
    <w:rsid w:val="008E286D"/>
    <w:rsid w:val="008E2944"/>
    <w:rsid w:val="008E2BA0"/>
    <w:rsid w:val="008E2C34"/>
    <w:rsid w:val="008E2C4A"/>
    <w:rsid w:val="008E2CDB"/>
    <w:rsid w:val="008E2DAD"/>
    <w:rsid w:val="008E30DC"/>
    <w:rsid w:val="008E31D4"/>
    <w:rsid w:val="008E3244"/>
    <w:rsid w:val="008E32A2"/>
    <w:rsid w:val="008E3397"/>
    <w:rsid w:val="008E35EF"/>
    <w:rsid w:val="008E37A0"/>
    <w:rsid w:val="008E3968"/>
    <w:rsid w:val="008E3A00"/>
    <w:rsid w:val="008E3AC9"/>
    <w:rsid w:val="008E3DFD"/>
    <w:rsid w:val="008E5088"/>
    <w:rsid w:val="008E54E4"/>
    <w:rsid w:val="008E5969"/>
    <w:rsid w:val="008E61EF"/>
    <w:rsid w:val="008E683C"/>
    <w:rsid w:val="008E6F1F"/>
    <w:rsid w:val="008E7602"/>
    <w:rsid w:val="008E7C95"/>
    <w:rsid w:val="008F0104"/>
    <w:rsid w:val="008F0B14"/>
    <w:rsid w:val="008F0DC8"/>
    <w:rsid w:val="008F10EF"/>
    <w:rsid w:val="008F1A43"/>
    <w:rsid w:val="008F2258"/>
    <w:rsid w:val="008F2316"/>
    <w:rsid w:val="008F2959"/>
    <w:rsid w:val="008F33E7"/>
    <w:rsid w:val="008F3489"/>
    <w:rsid w:val="008F3518"/>
    <w:rsid w:val="008F3643"/>
    <w:rsid w:val="008F37FE"/>
    <w:rsid w:val="008F38D1"/>
    <w:rsid w:val="008F3A90"/>
    <w:rsid w:val="008F3AE6"/>
    <w:rsid w:val="008F3FEF"/>
    <w:rsid w:val="008F478D"/>
    <w:rsid w:val="008F5769"/>
    <w:rsid w:val="008F5F6E"/>
    <w:rsid w:val="008F627A"/>
    <w:rsid w:val="008F64FF"/>
    <w:rsid w:val="008F6537"/>
    <w:rsid w:val="008F65B6"/>
    <w:rsid w:val="008F6A6C"/>
    <w:rsid w:val="008F6A8A"/>
    <w:rsid w:val="008F6F0D"/>
    <w:rsid w:val="008F758B"/>
    <w:rsid w:val="008F764D"/>
    <w:rsid w:val="009000F1"/>
    <w:rsid w:val="009001AD"/>
    <w:rsid w:val="009006E1"/>
    <w:rsid w:val="00900C1D"/>
    <w:rsid w:val="00900FA4"/>
    <w:rsid w:val="009016D3"/>
    <w:rsid w:val="00901A45"/>
    <w:rsid w:val="009024A9"/>
    <w:rsid w:val="009030D3"/>
    <w:rsid w:val="00903D01"/>
    <w:rsid w:val="00904679"/>
    <w:rsid w:val="00904E5C"/>
    <w:rsid w:val="00904EA7"/>
    <w:rsid w:val="00904F46"/>
    <w:rsid w:val="00905410"/>
    <w:rsid w:val="00905919"/>
    <w:rsid w:val="00905B87"/>
    <w:rsid w:val="00905D3B"/>
    <w:rsid w:val="009062F3"/>
    <w:rsid w:val="00906446"/>
    <w:rsid w:val="009066E8"/>
    <w:rsid w:val="00907A64"/>
    <w:rsid w:val="00907FD1"/>
    <w:rsid w:val="0091074D"/>
    <w:rsid w:val="00910F29"/>
    <w:rsid w:val="00910FF4"/>
    <w:rsid w:val="0091123B"/>
    <w:rsid w:val="00911248"/>
    <w:rsid w:val="00911780"/>
    <w:rsid w:val="00911B6B"/>
    <w:rsid w:val="0091235C"/>
    <w:rsid w:val="00912440"/>
    <w:rsid w:val="00912722"/>
    <w:rsid w:val="00912D12"/>
    <w:rsid w:val="00913221"/>
    <w:rsid w:val="0091339D"/>
    <w:rsid w:val="009134B7"/>
    <w:rsid w:val="009137AD"/>
    <w:rsid w:val="00913839"/>
    <w:rsid w:val="009140C3"/>
    <w:rsid w:val="0091473B"/>
    <w:rsid w:val="0091482A"/>
    <w:rsid w:val="00915807"/>
    <w:rsid w:val="00915871"/>
    <w:rsid w:val="00916E94"/>
    <w:rsid w:val="0091704D"/>
    <w:rsid w:val="00917386"/>
    <w:rsid w:val="00917453"/>
    <w:rsid w:val="00917874"/>
    <w:rsid w:val="00917E47"/>
    <w:rsid w:val="009200DC"/>
    <w:rsid w:val="0092046F"/>
    <w:rsid w:val="00920591"/>
    <w:rsid w:val="009208A4"/>
    <w:rsid w:val="009209A0"/>
    <w:rsid w:val="00920B0D"/>
    <w:rsid w:val="00920BB0"/>
    <w:rsid w:val="00920D72"/>
    <w:rsid w:val="0092138B"/>
    <w:rsid w:val="0092148B"/>
    <w:rsid w:val="009216C4"/>
    <w:rsid w:val="009216D9"/>
    <w:rsid w:val="00921F7B"/>
    <w:rsid w:val="00922279"/>
    <w:rsid w:val="009224E6"/>
    <w:rsid w:val="009226A1"/>
    <w:rsid w:val="009231B8"/>
    <w:rsid w:val="00923238"/>
    <w:rsid w:val="00923477"/>
    <w:rsid w:val="00923AA8"/>
    <w:rsid w:val="009241F8"/>
    <w:rsid w:val="00924229"/>
    <w:rsid w:val="00924372"/>
    <w:rsid w:val="0092554C"/>
    <w:rsid w:val="009263E3"/>
    <w:rsid w:val="00926547"/>
    <w:rsid w:val="00926FE8"/>
    <w:rsid w:val="00926FEE"/>
    <w:rsid w:val="00927EF8"/>
    <w:rsid w:val="00930005"/>
    <w:rsid w:val="009302A2"/>
    <w:rsid w:val="009302F2"/>
    <w:rsid w:val="00930EC1"/>
    <w:rsid w:val="00930EE0"/>
    <w:rsid w:val="0093124E"/>
    <w:rsid w:val="009316C6"/>
    <w:rsid w:val="00931ED2"/>
    <w:rsid w:val="00932B6E"/>
    <w:rsid w:val="00933723"/>
    <w:rsid w:val="0093389E"/>
    <w:rsid w:val="009342EE"/>
    <w:rsid w:val="00934B12"/>
    <w:rsid w:val="00934E6E"/>
    <w:rsid w:val="009351C4"/>
    <w:rsid w:val="009352B8"/>
    <w:rsid w:val="009355C8"/>
    <w:rsid w:val="009358AE"/>
    <w:rsid w:val="0093645A"/>
    <w:rsid w:val="00936AF7"/>
    <w:rsid w:val="0093704A"/>
    <w:rsid w:val="009402A1"/>
    <w:rsid w:val="00940368"/>
    <w:rsid w:val="009407EC"/>
    <w:rsid w:val="00940851"/>
    <w:rsid w:val="009408D7"/>
    <w:rsid w:val="00940AAC"/>
    <w:rsid w:val="00940EF0"/>
    <w:rsid w:val="00941099"/>
    <w:rsid w:val="009411E6"/>
    <w:rsid w:val="0094156B"/>
    <w:rsid w:val="00941799"/>
    <w:rsid w:val="0094195A"/>
    <w:rsid w:val="00941D1C"/>
    <w:rsid w:val="00941D41"/>
    <w:rsid w:val="00941E4D"/>
    <w:rsid w:val="009420CC"/>
    <w:rsid w:val="00942FA8"/>
    <w:rsid w:val="009430BE"/>
    <w:rsid w:val="0094401D"/>
    <w:rsid w:val="0094438F"/>
    <w:rsid w:val="0094476C"/>
    <w:rsid w:val="00944AAE"/>
    <w:rsid w:val="009458AE"/>
    <w:rsid w:val="009458B7"/>
    <w:rsid w:val="009459B0"/>
    <w:rsid w:val="0094611F"/>
    <w:rsid w:val="00946375"/>
    <w:rsid w:val="009467B8"/>
    <w:rsid w:val="00946EA3"/>
    <w:rsid w:val="00946FDC"/>
    <w:rsid w:val="009478F4"/>
    <w:rsid w:val="00947A98"/>
    <w:rsid w:val="00947C24"/>
    <w:rsid w:val="00947D03"/>
    <w:rsid w:val="00947EA7"/>
    <w:rsid w:val="00947F6F"/>
    <w:rsid w:val="00947F9C"/>
    <w:rsid w:val="00947FCC"/>
    <w:rsid w:val="009500C1"/>
    <w:rsid w:val="009504CE"/>
    <w:rsid w:val="00950B21"/>
    <w:rsid w:val="00950DAB"/>
    <w:rsid w:val="00950F24"/>
    <w:rsid w:val="00952948"/>
    <w:rsid w:val="009529CC"/>
    <w:rsid w:val="009529EC"/>
    <w:rsid w:val="00952E8F"/>
    <w:rsid w:val="009536D8"/>
    <w:rsid w:val="00953DA9"/>
    <w:rsid w:val="009542D3"/>
    <w:rsid w:val="009549ED"/>
    <w:rsid w:val="00954EF2"/>
    <w:rsid w:val="0095587B"/>
    <w:rsid w:val="00955E57"/>
    <w:rsid w:val="0095602C"/>
    <w:rsid w:val="00956162"/>
    <w:rsid w:val="0095665C"/>
    <w:rsid w:val="00957842"/>
    <w:rsid w:val="0096045F"/>
    <w:rsid w:val="009609B9"/>
    <w:rsid w:val="009609D0"/>
    <w:rsid w:val="00960A8A"/>
    <w:rsid w:val="00960E3A"/>
    <w:rsid w:val="00960FD5"/>
    <w:rsid w:val="0096110B"/>
    <w:rsid w:val="00962356"/>
    <w:rsid w:val="00962569"/>
    <w:rsid w:val="009629BC"/>
    <w:rsid w:val="00962D13"/>
    <w:rsid w:val="00962E7D"/>
    <w:rsid w:val="009633BF"/>
    <w:rsid w:val="00963F1D"/>
    <w:rsid w:val="009646D9"/>
    <w:rsid w:val="00964DD2"/>
    <w:rsid w:val="009658B2"/>
    <w:rsid w:val="00966041"/>
    <w:rsid w:val="0096775A"/>
    <w:rsid w:val="00967916"/>
    <w:rsid w:val="009700AB"/>
    <w:rsid w:val="009706A9"/>
    <w:rsid w:val="0097096D"/>
    <w:rsid w:val="00970992"/>
    <w:rsid w:val="00970C7B"/>
    <w:rsid w:val="00971059"/>
    <w:rsid w:val="00971F48"/>
    <w:rsid w:val="00972010"/>
    <w:rsid w:val="00972496"/>
    <w:rsid w:val="00973417"/>
    <w:rsid w:val="00973AF8"/>
    <w:rsid w:val="00974002"/>
    <w:rsid w:val="0097420E"/>
    <w:rsid w:val="00974978"/>
    <w:rsid w:val="00974A61"/>
    <w:rsid w:val="00974CE2"/>
    <w:rsid w:val="00974FF9"/>
    <w:rsid w:val="009755E7"/>
    <w:rsid w:val="0097574E"/>
    <w:rsid w:val="009757C8"/>
    <w:rsid w:val="00975D16"/>
    <w:rsid w:val="00976175"/>
    <w:rsid w:val="00976295"/>
    <w:rsid w:val="009764F8"/>
    <w:rsid w:val="00976DE1"/>
    <w:rsid w:val="00976EC2"/>
    <w:rsid w:val="009778C4"/>
    <w:rsid w:val="00980584"/>
    <w:rsid w:val="0098081B"/>
    <w:rsid w:val="00980BD0"/>
    <w:rsid w:val="00980CF3"/>
    <w:rsid w:val="00980E6E"/>
    <w:rsid w:val="0098109A"/>
    <w:rsid w:val="0098119A"/>
    <w:rsid w:val="0098179E"/>
    <w:rsid w:val="009818FD"/>
    <w:rsid w:val="00981D88"/>
    <w:rsid w:val="00981F5B"/>
    <w:rsid w:val="00981F86"/>
    <w:rsid w:val="009821BA"/>
    <w:rsid w:val="00982550"/>
    <w:rsid w:val="00982580"/>
    <w:rsid w:val="00983025"/>
    <w:rsid w:val="009833F1"/>
    <w:rsid w:val="0098389F"/>
    <w:rsid w:val="00983936"/>
    <w:rsid w:val="0098413D"/>
    <w:rsid w:val="00984668"/>
    <w:rsid w:val="00984E76"/>
    <w:rsid w:val="00984FDA"/>
    <w:rsid w:val="009852BA"/>
    <w:rsid w:val="009854C6"/>
    <w:rsid w:val="009854FE"/>
    <w:rsid w:val="009855E0"/>
    <w:rsid w:val="00985759"/>
    <w:rsid w:val="00985998"/>
    <w:rsid w:val="00986248"/>
    <w:rsid w:val="00986B23"/>
    <w:rsid w:val="00986C85"/>
    <w:rsid w:val="00986CCA"/>
    <w:rsid w:val="00986D0A"/>
    <w:rsid w:val="009871E8"/>
    <w:rsid w:val="009903C2"/>
    <w:rsid w:val="00990AD4"/>
    <w:rsid w:val="00990C35"/>
    <w:rsid w:val="00990CBD"/>
    <w:rsid w:val="0099109E"/>
    <w:rsid w:val="00991426"/>
    <w:rsid w:val="00991599"/>
    <w:rsid w:val="00991A0B"/>
    <w:rsid w:val="00991A92"/>
    <w:rsid w:val="00991AB7"/>
    <w:rsid w:val="00991B78"/>
    <w:rsid w:val="00991E07"/>
    <w:rsid w:val="00992617"/>
    <w:rsid w:val="00992847"/>
    <w:rsid w:val="00992F0E"/>
    <w:rsid w:val="00993925"/>
    <w:rsid w:val="00993D6D"/>
    <w:rsid w:val="0099402A"/>
    <w:rsid w:val="009947D7"/>
    <w:rsid w:val="00994B73"/>
    <w:rsid w:val="0099571B"/>
    <w:rsid w:val="0099579B"/>
    <w:rsid w:val="00995B59"/>
    <w:rsid w:val="009960B6"/>
    <w:rsid w:val="00997541"/>
    <w:rsid w:val="009979E3"/>
    <w:rsid w:val="00997B9B"/>
    <w:rsid w:val="009A16FF"/>
    <w:rsid w:val="009A2599"/>
    <w:rsid w:val="009A25FB"/>
    <w:rsid w:val="009A295C"/>
    <w:rsid w:val="009A37F9"/>
    <w:rsid w:val="009A3EE1"/>
    <w:rsid w:val="009A3F91"/>
    <w:rsid w:val="009A416A"/>
    <w:rsid w:val="009A4233"/>
    <w:rsid w:val="009A42B9"/>
    <w:rsid w:val="009A4746"/>
    <w:rsid w:val="009A47EC"/>
    <w:rsid w:val="009A4C34"/>
    <w:rsid w:val="009A58FB"/>
    <w:rsid w:val="009A5AE0"/>
    <w:rsid w:val="009A5B43"/>
    <w:rsid w:val="009A656B"/>
    <w:rsid w:val="009A6B84"/>
    <w:rsid w:val="009A6C06"/>
    <w:rsid w:val="009A6DF3"/>
    <w:rsid w:val="009A6E08"/>
    <w:rsid w:val="009A705E"/>
    <w:rsid w:val="009A7619"/>
    <w:rsid w:val="009A7A02"/>
    <w:rsid w:val="009B00FF"/>
    <w:rsid w:val="009B0162"/>
    <w:rsid w:val="009B0168"/>
    <w:rsid w:val="009B09D1"/>
    <w:rsid w:val="009B1949"/>
    <w:rsid w:val="009B1AB3"/>
    <w:rsid w:val="009B2D59"/>
    <w:rsid w:val="009B2FE1"/>
    <w:rsid w:val="009B39F4"/>
    <w:rsid w:val="009B4222"/>
    <w:rsid w:val="009B439D"/>
    <w:rsid w:val="009B452B"/>
    <w:rsid w:val="009B49ED"/>
    <w:rsid w:val="009B4EFD"/>
    <w:rsid w:val="009B5900"/>
    <w:rsid w:val="009B594B"/>
    <w:rsid w:val="009B59F4"/>
    <w:rsid w:val="009B5FC2"/>
    <w:rsid w:val="009B6059"/>
    <w:rsid w:val="009B645D"/>
    <w:rsid w:val="009B695B"/>
    <w:rsid w:val="009B6D98"/>
    <w:rsid w:val="009B7807"/>
    <w:rsid w:val="009B7D5E"/>
    <w:rsid w:val="009B7EF7"/>
    <w:rsid w:val="009C0085"/>
    <w:rsid w:val="009C0277"/>
    <w:rsid w:val="009C0383"/>
    <w:rsid w:val="009C0950"/>
    <w:rsid w:val="009C0BA5"/>
    <w:rsid w:val="009C0DAA"/>
    <w:rsid w:val="009C15BA"/>
    <w:rsid w:val="009C1C2A"/>
    <w:rsid w:val="009C2618"/>
    <w:rsid w:val="009C3033"/>
    <w:rsid w:val="009C3D5B"/>
    <w:rsid w:val="009C4234"/>
    <w:rsid w:val="009C4290"/>
    <w:rsid w:val="009C4389"/>
    <w:rsid w:val="009C44C6"/>
    <w:rsid w:val="009C4740"/>
    <w:rsid w:val="009C4DD3"/>
    <w:rsid w:val="009C508A"/>
    <w:rsid w:val="009C50BE"/>
    <w:rsid w:val="009C524A"/>
    <w:rsid w:val="009C5607"/>
    <w:rsid w:val="009C693C"/>
    <w:rsid w:val="009C6B09"/>
    <w:rsid w:val="009C6F36"/>
    <w:rsid w:val="009C71C4"/>
    <w:rsid w:val="009D0086"/>
    <w:rsid w:val="009D00E2"/>
    <w:rsid w:val="009D01C3"/>
    <w:rsid w:val="009D04D2"/>
    <w:rsid w:val="009D0574"/>
    <w:rsid w:val="009D0984"/>
    <w:rsid w:val="009D0C01"/>
    <w:rsid w:val="009D0D84"/>
    <w:rsid w:val="009D0F37"/>
    <w:rsid w:val="009D12B0"/>
    <w:rsid w:val="009D1465"/>
    <w:rsid w:val="009D1E11"/>
    <w:rsid w:val="009D246D"/>
    <w:rsid w:val="009D2760"/>
    <w:rsid w:val="009D2A7A"/>
    <w:rsid w:val="009D30D6"/>
    <w:rsid w:val="009D35A7"/>
    <w:rsid w:val="009D374E"/>
    <w:rsid w:val="009D39F0"/>
    <w:rsid w:val="009D3ADC"/>
    <w:rsid w:val="009D4226"/>
    <w:rsid w:val="009D469E"/>
    <w:rsid w:val="009D46F4"/>
    <w:rsid w:val="009D4852"/>
    <w:rsid w:val="009D4D39"/>
    <w:rsid w:val="009D4ED0"/>
    <w:rsid w:val="009D54AE"/>
    <w:rsid w:val="009D5F6D"/>
    <w:rsid w:val="009D604B"/>
    <w:rsid w:val="009D637E"/>
    <w:rsid w:val="009D7135"/>
    <w:rsid w:val="009D73AE"/>
    <w:rsid w:val="009D752B"/>
    <w:rsid w:val="009E0042"/>
    <w:rsid w:val="009E0B3F"/>
    <w:rsid w:val="009E1364"/>
    <w:rsid w:val="009E1731"/>
    <w:rsid w:val="009E1859"/>
    <w:rsid w:val="009E2241"/>
    <w:rsid w:val="009E239D"/>
    <w:rsid w:val="009E2488"/>
    <w:rsid w:val="009E2F7B"/>
    <w:rsid w:val="009E340D"/>
    <w:rsid w:val="009E3B36"/>
    <w:rsid w:val="009E41FD"/>
    <w:rsid w:val="009E4AAE"/>
    <w:rsid w:val="009E51C8"/>
    <w:rsid w:val="009E553E"/>
    <w:rsid w:val="009E6699"/>
    <w:rsid w:val="009E67C5"/>
    <w:rsid w:val="009E6A73"/>
    <w:rsid w:val="009E6F71"/>
    <w:rsid w:val="009E70D2"/>
    <w:rsid w:val="009E716B"/>
    <w:rsid w:val="009E7392"/>
    <w:rsid w:val="009E74E5"/>
    <w:rsid w:val="009E776B"/>
    <w:rsid w:val="009E77C6"/>
    <w:rsid w:val="009F052D"/>
    <w:rsid w:val="009F05E5"/>
    <w:rsid w:val="009F0B18"/>
    <w:rsid w:val="009F0BF5"/>
    <w:rsid w:val="009F159D"/>
    <w:rsid w:val="009F1EA0"/>
    <w:rsid w:val="009F1F2D"/>
    <w:rsid w:val="009F2486"/>
    <w:rsid w:val="009F2EF7"/>
    <w:rsid w:val="009F331F"/>
    <w:rsid w:val="009F34A4"/>
    <w:rsid w:val="009F3E6B"/>
    <w:rsid w:val="009F3FAB"/>
    <w:rsid w:val="009F4619"/>
    <w:rsid w:val="009F4758"/>
    <w:rsid w:val="009F48F2"/>
    <w:rsid w:val="009F4BD2"/>
    <w:rsid w:val="009F4D9A"/>
    <w:rsid w:val="009F4F67"/>
    <w:rsid w:val="009F55BF"/>
    <w:rsid w:val="009F5CE6"/>
    <w:rsid w:val="009F5F0B"/>
    <w:rsid w:val="009F6193"/>
    <w:rsid w:val="009F622B"/>
    <w:rsid w:val="009F6635"/>
    <w:rsid w:val="009F6669"/>
    <w:rsid w:val="009F6DF4"/>
    <w:rsid w:val="009F70FB"/>
    <w:rsid w:val="009F7455"/>
    <w:rsid w:val="009F7763"/>
    <w:rsid w:val="009F77E6"/>
    <w:rsid w:val="009F7EDB"/>
    <w:rsid w:val="009F7FDA"/>
    <w:rsid w:val="00A0004D"/>
    <w:rsid w:val="00A0059D"/>
    <w:rsid w:val="00A0107C"/>
    <w:rsid w:val="00A0197C"/>
    <w:rsid w:val="00A01A6C"/>
    <w:rsid w:val="00A01BD8"/>
    <w:rsid w:val="00A02387"/>
    <w:rsid w:val="00A02C78"/>
    <w:rsid w:val="00A03024"/>
    <w:rsid w:val="00A03078"/>
    <w:rsid w:val="00A030F8"/>
    <w:rsid w:val="00A03712"/>
    <w:rsid w:val="00A0382E"/>
    <w:rsid w:val="00A039C7"/>
    <w:rsid w:val="00A03A85"/>
    <w:rsid w:val="00A03D9A"/>
    <w:rsid w:val="00A0449C"/>
    <w:rsid w:val="00A045F3"/>
    <w:rsid w:val="00A04664"/>
    <w:rsid w:val="00A04814"/>
    <w:rsid w:val="00A04C15"/>
    <w:rsid w:val="00A051D1"/>
    <w:rsid w:val="00A05396"/>
    <w:rsid w:val="00A053B3"/>
    <w:rsid w:val="00A0543F"/>
    <w:rsid w:val="00A05DD2"/>
    <w:rsid w:val="00A05F40"/>
    <w:rsid w:val="00A06CA7"/>
    <w:rsid w:val="00A06CEB"/>
    <w:rsid w:val="00A06FD8"/>
    <w:rsid w:val="00A07026"/>
    <w:rsid w:val="00A07DFC"/>
    <w:rsid w:val="00A100FB"/>
    <w:rsid w:val="00A104E5"/>
    <w:rsid w:val="00A106C1"/>
    <w:rsid w:val="00A10A86"/>
    <w:rsid w:val="00A10B41"/>
    <w:rsid w:val="00A10F6B"/>
    <w:rsid w:val="00A1137E"/>
    <w:rsid w:val="00A11582"/>
    <w:rsid w:val="00A118BA"/>
    <w:rsid w:val="00A11D06"/>
    <w:rsid w:val="00A133FC"/>
    <w:rsid w:val="00A134A6"/>
    <w:rsid w:val="00A1357D"/>
    <w:rsid w:val="00A13677"/>
    <w:rsid w:val="00A13A87"/>
    <w:rsid w:val="00A13BD1"/>
    <w:rsid w:val="00A13C6D"/>
    <w:rsid w:val="00A1403B"/>
    <w:rsid w:val="00A14179"/>
    <w:rsid w:val="00A14336"/>
    <w:rsid w:val="00A14987"/>
    <w:rsid w:val="00A1506C"/>
    <w:rsid w:val="00A15561"/>
    <w:rsid w:val="00A159D5"/>
    <w:rsid w:val="00A15F67"/>
    <w:rsid w:val="00A16D93"/>
    <w:rsid w:val="00A17738"/>
    <w:rsid w:val="00A17CEF"/>
    <w:rsid w:val="00A17DBE"/>
    <w:rsid w:val="00A2023B"/>
    <w:rsid w:val="00A203BF"/>
    <w:rsid w:val="00A21233"/>
    <w:rsid w:val="00A213A1"/>
    <w:rsid w:val="00A21A93"/>
    <w:rsid w:val="00A21DFB"/>
    <w:rsid w:val="00A21F76"/>
    <w:rsid w:val="00A22288"/>
    <w:rsid w:val="00A22734"/>
    <w:rsid w:val="00A22B20"/>
    <w:rsid w:val="00A23605"/>
    <w:rsid w:val="00A23ACF"/>
    <w:rsid w:val="00A23E85"/>
    <w:rsid w:val="00A242DE"/>
    <w:rsid w:val="00A24DF5"/>
    <w:rsid w:val="00A252B0"/>
    <w:rsid w:val="00A255A0"/>
    <w:rsid w:val="00A25745"/>
    <w:rsid w:val="00A261E5"/>
    <w:rsid w:val="00A26A9A"/>
    <w:rsid w:val="00A27390"/>
    <w:rsid w:val="00A3059C"/>
    <w:rsid w:val="00A30821"/>
    <w:rsid w:val="00A3147F"/>
    <w:rsid w:val="00A315EF"/>
    <w:rsid w:val="00A31606"/>
    <w:rsid w:val="00A31E89"/>
    <w:rsid w:val="00A32AB6"/>
    <w:rsid w:val="00A34404"/>
    <w:rsid w:val="00A3475B"/>
    <w:rsid w:val="00A34B0F"/>
    <w:rsid w:val="00A3535E"/>
    <w:rsid w:val="00A35710"/>
    <w:rsid w:val="00A35784"/>
    <w:rsid w:val="00A357E7"/>
    <w:rsid w:val="00A35A6B"/>
    <w:rsid w:val="00A3776A"/>
    <w:rsid w:val="00A379D1"/>
    <w:rsid w:val="00A402BE"/>
    <w:rsid w:val="00A40887"/>
    <w:rsid w:val="00A40DEC"/>
    <w:rsid w:val="00A41256"/>
    <w:rsid w:val="00A41AB0"/>
    <w:rsid w:val="00A41B88"/>
    <w:rsid w:val="00A41D89"/>
    <w:rsid w:val="00A41E4B"/>
    <w:rsid w:val="00A428FF"/>
    <w:rsid w:val="00A42FF9"/>
    <w:rsid w:val="00A4336D"/>
    <w:rsid w:val="00A437BE"/>
    <w:rsid w:val="00A43DF6"/>
    <w:rsid w:val="00A44205"/>
    <w:rsid w:val="00A446FD"/>
    <w:rsid w:val="00A44A6B"/>
    <w:rsid w:val="00A44CD4"/>
    <w:rsid w:val="00A452A6"/>
    <w:rsid w:val="00A45479"/>
    <w:rsid w:val="00A45518"/>
    <w:rsid w:val="00A45762"/>
    <w:rsid w:val="00A45793"/>
    <w:rsid w:val="00A45F7D"/>
    <w:rsid w:val="00A46B2B"/>
    <w:rsid w:val="00A46EBA"/>
    <w:rsid w:val="00A46FDD"/>
    <w:rsid w:val="00A473C4"/>
    <w:rsid w:val="00A474B0"/>
    <w:rsid w:val="00A47751"/>
    <w:rsid w:val="00A47948"/>
    <w:rsid w:val="00A47A63"/>
    <w:rsid w:val="00A47E45"/>
    <w:rsid w:val="00A500C2"/>
    <w:rsid w:val="00A50787"/>
    <w:rsid w:val="00A50E58"/>
    <w:rsid w:val="00A50EF4"/>
    <w:rsid w:val="00A50F20"/>
    <w:rsid w:val="00A515A7"/>
    <w:rsid w:val="00A516E2"/>
    <w:rsid w:val="00A52775"/>
    <w:rsid w:val="00A52A09"/>
    <w:rsid w:val="00A530B4"/>
    <w:rsid w:val="00A537EC"/>
    <w:rsid w:val="00A53A67"/>
    <w:rsid w:val="00A53B77"/>
    <w:rsid w:val="00A53BC5"/>
    <w:rsid w:val="00A53CA6"/>
    <w:rsid w:val="00A53CB8"/>
    <w:rsid w:val="00A53E07"/>
    <w:rsid w:val="00A54098"/>
    <w:rsid w:val="00A543BF"/>
    <w:rsid w:val="00A544E2"/>
    <w:rsid w:val="00A55382"/>
    <w:rsid w:val="00A55AE1"/>
    <w:rsid w:val="00A55FE1"/>
    <w:rsid w:val="00A571C3"/>
    <w:rsid w:val="00A571FF"/>
    <w:rsid w:val="00A5725A"/>
    <w:rsid w:val="00A575C7"/>
    <w:rsid w:val="00A57A27"/>
    <w:rsid w:val="00A57B94"/>
    <w:rsid w:val="00A6021B"/>
    <w:rsid w:val="00A60254"/>
    <w:rsid w:val="00A604DE"/>
    <w:rsid w:val="00A60625"/>
    <w:rsid w:val="00A60D92"/>
    <w:rsid w:val="00A611CA"/>
    <w:rsid w:val="00A61CB9"/>
    <w:rsid w:val="00A61D8A"/>
    <w:rsid w:val="00A61E6A"/>
    <w:rsid w:val="00A623E8"/>
    <w:rsid w:val="00A628E6"/>
    <w:rsid w:val="00A62CCB"/>
    <w:rsid w:val="00A632DF"/>
    <w:rsid w:val="00A636FA"/>
    <w:rsid w:val="00A63A84"/>
    <w:rsid w:val="00A63AA9"/>
    <w:rsid w:val="00A63AD0"/>
    <w:rsid w:val="00A64080"/>
    <w:rsid w:val="00A64219"/>
    <w:rsid w:val="00A64301"/>
    <w:rsid w:val="00A648B3"/>
    <w:rsid w:val="00A64BBF"/>
    <w:rsid w:val="00A653FC"/>
    <w:rsid w:val="00A66128"/>
    <w:rsid w:val="00A665BD"/>
    <w:rsid w:val="00A66B71"/>
    <w:rsid w:val="00A67288"/>
    <w:rsid w:val="00A67749"/>
    <w:rsid w:val="00A67A67"/>
    <w:rsid w:val="00A67C67"/>
    <w:rsid w:val="00A701BD"/>
    <w:rsid w:val="00A7052D"/>
    <w:rsid w:val="00A70566"/>
    <w:rsid w:val="00A70D6F"/>
    <w:rsid w:val="00A70FDA"/>
    <w:rsid w:val="00A71662"/>
    <w:rsid w:val="00A71965"/>
    <w:rsid w:val="00A71A9A"/>
    <w:rsid w:val="00A71E19"/>
    <w:rsid w:val="00A71E3F"/>
    <w:rsid w:val="00A71FAA"/>
    <w:rsid w:val="00A7208D"/>
    <w:rsid w:val="00A720AC"/>
    <w:rsid w:val="00A724CE"/>
    <w:rsid w:val="00A72F0B"/>
    <w:rsid w:val="00A731DA"/>
    <w:rsid w:val="00A73465"/>
    <w:rsid w:val="00A73BF1"/>
    <w:rsid w:val="00A74131"/>
    <w:rsid w:val="00A74403"/>
    <w:rsid w:val="00A7481F"/>
    <w:rsid w:val="00A75148"/>
    <w:rsid w:val="00A75411"/>
    <w:rsid w:val="00A757A1"/>
    <w:rsid w:val="00A75965"/>
    <w:rsid w:val="00A75CF7"/>
    <w:rsid w:val="00A7610B"/>
    <w:rsid w:val="00A77779"/>
    <w:rsid w:val="00A779A1"/>
    <w:rsid w:val="00A80792"/>
    <w:rsid w:val="00A80D4E"/>
    <w:rsid w:val="00A80F01"/>
    <w:rsid w:val="00A812F6"/>
    <w:rsid w:val="00A813CE"/>
    <w:rsid w:val="00A8168B"/>
    <w:rsid w:val="00A81C14"/>
    <w:rsid w:val="00A8235D"/>
    <w:rsid w:val="00A8262D"/>
    <w:rsid w:val="00A828D9"/>
    <w:rsid w:val="00A82F83"/>
    <w:rsid w:val="00A8392E"/>
    <w:rsid w:val="00A83EA3"/>
    <w:rsid w:val="00A8469D"/>
    <w:rsid w:val="00A84D2A"/>
    <w:rsid w:val="00A852F5"/>
    <w:rsid w:val="00A854C4"/>
    <w:rsid w:val="00A85BFB"/>
    <w:rsid w:val="00A85E85"/>
    <w:rsid w:val="00A862B4"/>
    <w:rsid w:val="00A86F5A"/>
    <w:rsid w:val="00A8712A"/>
    <w:rsid w:val="00A8730D"/>
    <w:rsid w:val="00A87BFD"/>
    <w:rsid w:val="00A87CD9"/>
    <w:rsid w:val="00A87D44"/>
    <w:rsid w:val="00A9080D"/>
    <w:rsid w:val="00A90E34"/>
    <w:rsid w:val="00A90E5C"/>
    <w:rsid w:val="00A90E9D"/>
    <w:rsid w:val="00A91070"/>
    <w:rsid w:val="00A91078"/>
    <w:rsid w:val="00A9243A"/>
    <w:rsid w:val="00A924F0"/>
    <w:rsid w:val="00A925CF"/>
    <w:rsid w:val="00A92888"/>
    <w:rsid w:val="00A92D67"/>
    <w:rsid w:val="00A9333B"/>
    <w:rsid w:val="00A937C1"/>
    <w:rsid w:val="00A938A4"/>
    <w:rsid w:val="00A943D5"/>
    <w:rsid w:val="00A94A74"/>
    <w:rsid w:val="00A9589B"/>
    <w:rsid w:val="00A95AA9"/>
    <w:rsid w:val="00A96251"/>
    <w:rsid w:val="00A96941"/>
    <w:rsid w:val="00A96A90"/>
    <w:rsid w:val="00A97EB7"/>
    <w:rsid w:val="00A97F70"/>
    <w:rsid w:val="00AA06DF"/>
    <w:rsid w:val="00AA0B2F"/>
    <w:rsid w:val="00AA0B63"/>
    <w:rsid w:val="00AA0C0E"/>
    <w:rsid w:val="00AA110B"/>
    <w:rsid w:val="00AA1414"/>
    <w:rsid w:val="00AA1A2C"/>
    <w:rsid w:val="00AA1C7B"/>
    <w:rsid w:val="00AA23A4"/>
    <w:rsid w:val="00AA2729"/>
    <w:rsid w:val="00AA303F"/>
    <w:rsid w:val="00AA3974"/>
    <w:rsid w:val="00AA39D9"/>
    <w:rsid w:val="00AA3A82"/>
    <w:rsid w:val="00AA47B4"/>
    <w:rsid w:val="00AA493F"/>
    <w:rsid w:val="00AA498F"/>
    <w:rsid w:val="00AA51E6"/>
    <w:rsid w:val="00AA5298"/>
    <w:rsid w:val="00AA5A97"/>
    <w:rsid w:val="00AA5AF9"/>
    <w:rsid w:val="00AA5DAA"/>
    <w:rsid w:val="00AA5F9F"/>
    <w:rsid w:val="00AA62FC"/>
    <w:rsid w:val="00AA6794"/>
    <w:rsid w:val="00AA6960"/>
    <w:rsid w:val="00AA6CD8"/>
    <w:rsid w:val="00AA6E8B"/>
    <w:rsid w:val="00AA74C9"/>
    <w:rsid w:val="00AA766C"/>
    <w:rsid w:val="00AB03B5"/>
    <w:rsid w:val="00AB090C"/>
    <w:rsid w:val="00AB0EE0"/>
    <w:rsid w:val="00AB0F62"/>
    <w:rsid w:val="00AB0FB0"/>
    <w:rsid w:val="00AB15D3"/>
    <w:rsid w:val="00AB186B"/>
    <w:rsid w:val="00AB1A99"/>
    <w:rsid w:val="00AB1CD9"/>
    <w:rsid w:val="00AB1E99"/>
    <w:rsid w:val="00AB1FC3"/>
    <w:rsid w:val="00AB20A9"/>
    <w:rsid w:val="00AB2837"/>
    <w:rsid w:val="00AB2917"/>
    <w:rsid w:val="00AB3A32"/>
    <w:rsid w:val="00AB42E3"/>
    <w:rsid w:val="00AB43FB"/>
    <w:rsid w:val="00AB4721"/>
    <w:rsid w:val="00AB4779"/>
    <w:rsid w:val="00AB4C43"/>
    <w:rsid w:val="00AB4EA0"/>
    <w:rsid w:val="00AB4EFF"/>
    <w:rsid w:val="00AB5233"/>
    <w:rsid w:val="00AB555D"/>
    <w:rsid w:val="00AB5562"/>
    <w:rsid w:val="00AB5E8A"/>
    <w:rsid w:val="00AB5E8F"/>
    <w:rsid w:val="00AB61C6"/>
    <w:rsid w:val="00AB68E0"/>
    <w:rsid w:val="00AB6AD5"/>
    <w:rsid w:val="00AB6C02"/>
    <w:rsid w:val="00AB6E99"/>
    <w:rsid w:val="00AB6EDF"/>
    <w:rsid w:val="00AB7110"/>
    <w:rsid w:val="00AB7409"/>
    <w:rsid w:val="00AB749B"/>
    <w:rsid w:val="00AB78D7"/>
    <w:rsid w:val="00AB7B73"/>
    <w:rsid w:val="00AB7C09"/>
    <w:rsid w:val="00AB7EBA"/>
    <w:rsid w:val="00AC00D2"/>
    <w:rsid w:val="00AC08C9"/>
    <w:rsid w:val="00AC098B"/>
    <w:rsid w:val="00AC0A7C"/>
    <w:rsid w:val="00AC0E13"/>
    <w:rsid w:val="00AC0FD9"/>
    <w:rsid w:val="00AC1BAA"/>
    <w:rsid w:val="00AC1C50"/>
    <w:rsid w:val="00AC1FE6"/>
    <w:rsid w:val="00AC246E"/>
    <w:rsid w:val="00AC2843"/>
    <w:rsid w:val="00AC28E8"/>
    <w:rsid w:val="00AC2F04"/>
    <w:rsid w:val="00AC30CA"/>
    <w:rsid w:val="00AC3830"/>
    <w:rsid w:val="00AC505C"/>
    <w:rsid w:val="00AC63C3"/>
    <w:rsid w:val="00AC6696"/>
    <w:rsid w:val="00AC6A56"/>
    <w:rsid w:val="00AC763E"/>
    <w:rsid w:val="00AD0089"/>
    <w:rsid w:val="00AD03DF"/>
    <w:rsid w:val="00AD0426"/>
    <w:rsid w:val="00AD1065"/>
    <w:rsid w:val="00AD19D6"/>
    <w:rsid w:val="00AD22D9"/>
    <w:rsid w:val="00AD2484"/>
    <w:rsid w:val="00AD2D43"/>
    <w:rsid w:val="00AD2DB0"/>
    <w:rsid w:val="00AD32B3"/>
    <w:rsid w:val="00AD32EB"/>
    <w:rsid w:val="00AD34F7"/>
    <w:rsid w:val="00AD3806"/>
    <w:rsid w:val="00AD43C0"/>
    <w:rsid w:val="00AD4414"/>
    <w:rsid w:val="00AD4BE8"/>
    <w:rsid w:val="00AD4FE8"/>
    <w:rsid w:val="00AD5111"/>
    <w:rsid w:val="00AD5682"/>
    <w:rsid w:val="00AD56B3"/>
    <w:rsid w:val="00AD58E0"/>
    <w:rsid w:val="00AD5D6D"/>
    <w:rsid w:val="00AD616F"/>
    <w:rsid w:val="00AD62F0"/>
    <w:rsid w:val="00AD6367"/>
    <w:rsid w:val="00AD6633"/>
    <w:rsid w:val="00AD6882"/>
    <w:rsid w:val="00AD690C"/>
    <w:rsid w:val="00AD78F2"/>
    <w:rsid w:val="00AE0B48"/>
    <w:rsid w:val="00AE1874"/>
    <w:rsid w:val="00AE1A1B"/>
    <w:rsid w:val="00AE1C73"/>
    <w:rsid w:val="00AE1FD3"/>
    <w:rsid w:val="00AE2090"/>
    <w:rsid w:val="00AE2203"/>
    <w:rsid w:val="00AE3A6F"/>
    <w:rsid w:val="00AE415A"/>
    <w:rsid w:val="00AE457C"/>
    <w:rsid w:val="00AE5438"/>
    <w:rsid w:val="00AE62C0"/>
    <w:rsid w:val="00AE6D8C"/>
    <w:rsid w:val="00AF0643"/>
    <w:rsid w:val="00AF0665"/>
    <w:rsid w:val="00AF0C23"/>
    <w:rsid w:val="00AF18FB"/>
    <w:rsid w:val="00AF1987"/>
    <w:rsid w:val="00AF2338"/>
    <w:rsid w:val="00AF28C3"/>
    <w:rsid w:val="00AF354C"/>
    <w:rsid w:val="00AF3B94"/>
    <w:rsid w:val="00AF4AB5"/>
    <w:rsid w:val="00AF4EE0"/>
    <w:rsid w:val="00AF5C87"/>
    <w:rsid w:val="00AF67C0"/>
    <w:rsid w:val="00AF6F87"/>
    <w:rsid w:val="00AF76E7"/>
    <w:rsid w:val="00B01656"/>
    <w:rsid w:val="00B01BA1"/>
    <w:rsid w:val="00B01FF1"/>
    <w:rsid w:val="00B02442"/>
    <w:rsid w:val="00B02557"/>
    <w:rsid w:val="00B02949"/>
    <w:rsid w:val="00B02CCE"/>
    <w:rsid w:val="00B02F9B"/>
    <w:rsid w:val="00B034AB"/>
    <w:rsid w:val="00B0353A"/>
    <w:rsid w:val="00B03DE6"/>
    <w:rsid w:val="00B03FA7"/>
    <w:rsid w:val="00B04040"/>
    <w:rsid w:val="00B04198"/>
    <w:rsid w:val="00B0442E"/>
    <w:rsid w:val="00B0465D"/>
    <w:rsid w:val="00B04DC2"/>
    <w:rsid w:val="00B05151"/>
    <w:rsid w:val="00B0520B"/>
    <w:rsid w:val="00B05B0B"/>
    <w:rsid w:val="00B05E65"/>
    <w:rsid w:val="00B06309"/>
    <w:rsid w:val="00B075BD"/>
    <w:rsid w:val="00B07E93"/>
    <w:rsid w:val="00B109DD"/>
    <w:rsid w:val="00B10BC4"/>
    <w:rsid w:val="00B10C35"/>
    <w:rsid w:val="00B11251"/>
    <w:rsid w:val="00B113F3"/>
    <w:rsid w:val="00B11511"/>
    <w:rsid w:val="00B1153D"/>
    <w:rsid w:val="00B1220F"/>
    <w:rsid w:val="00B130D6"/>
    <w:rsid w:val="00B1314E"/>
    <w:rsid w:val="00B13503"/>
    <w:rsid w:val="00B13850"/>
    <w:rsid w:val="00B13F97"/>
    <w:rsid w:val="00B14011"/>
    <w:rsid w:val="00B14ECA"/>
    <w:rsid w:val="00B14F1C"/>
    <w:rsid w:val="00B15000"/>
    <w:rsid w:val="00B150FA"/>
    <w:rsid w:val="00B154D6"/>
    <w:rsid w:val="00B15855"/>
    <w:rsid w:val="00B1588E"/>
    <w:rsid w:val="00B169C0"/>
    <w:rsid w:val="00B16B4B"/>
    <w:rsid w:val="00B16E4F"/>
    <w:rsid w:val="00B170DD"/>
    <w:rsid w:val="00B1719F"/>
    <w:rsid w:val="00B17636"/>
    <w:rsid w:val="00B20152"/>
    <w:rsid w:val="00B203FF"/>
    <w:rsid w:val="00B206FF"/>
    <w:rsid w:val="00B21157"/>
    <w:rsid w:val="00B21285"/>
    <w:rsid w:val="00B21D58"/>
    <w:rsid w:val="00B220B6"/>
    <w:rsid w:val="00B228BA"/>
    <w:rsid w:val="00B228BE"/>
    <w:rsid w:val="00B22B95"/>
    <w:rsid w:val="00B23D00"/>
    <w:rsid w:val="00B23D89"/>
    <w:rsid w:val="00B244A8"/>
    <w:rsid w:val="00B24E4E"/>
    <w:rsid w:val="00B25204"/>
    <w:rsid w:val="00B25A7A"/>
    <w:rsid w:val="00B2726D"/>
    <w:rsid w:val="00B277D8"/>
    <w:rsid w:val="00B2782E"/>
    <w:rsid w:val="00B27C49"/>
    <w:rsid w:val="00B27DD1"/>
    <w:rsid w:val="00B30300"/>
    <w:rsid w:val="00B30988"/>
    <w:rsid w:val="00B30A0E"/>
    <w:rsid w:val="00B30C4D"/>
    <w:rsid w:val="00B30EF7"/>
    <w:rsid w:val="00B31676"/>
    <w:rsid w:val="00B3198F"/>
    <w:rsid w:val="00B31CDF"/>
    <w:rsid w:val="00B3201B"/>
    <w:rsid w:val="00B3261B"/>
    <w:rsid w:val="00B32A3C"/>
    <w:rsid w:val="00B32F9D"/>
    <w:rsid w:val="00B336EE"/>
    <w:rsid w:val="00B33E4F"/>
    <w:rsid w:val="00B340C2"/>
    <w:rsid w:val="00B3437D"/>
    <w:rsid w:val="00B344A5"/>
    <w:rsid w:val="00B3491C"/>
    <w:rsid w:val="00B35CD3"/>
    <w:rsid w:val="00B3604C"/>
    <w:rsid w:val="00B36131"/>
    <w:rsid w:val="00B36826"/>
    <w:rsid w:val="00B369D6"/>
    <w:rsid w:val="00B36BBD"/>
    <w:rsid w:val="00B3706F"/>
    <w:rsid w:val="00B400ED"/>
    <w:rsid w:val="00B40883"/>
    <w:rsid w:val="00B415D4"/>
    <w:rsid w:val="00B4166B"/>
    <w:rsid w:val="00B42C3A"/>
    <w:rsid w:val="00B4399C"/>
    <w:rsid w:val="00B43B6B"/>
    <w:rsid w:val="00B43EB5"/>
    <w:rsid w:val="00B445DE"/>
    <w:rsid w:val="00B4495C"/>
    <w:rsid w:val="00B45D06"/>
    <w:rsid w:val="00B45FC5"/>
    <w:rsid w:val="00B465D0"/>
    <w:rsid w:val="00B466F1"/>
    <w:rsid w:val="00B469A6"/>
    <w:rsid w:val="00B46A1C"/>
    <w:rsid w:val="00B46D07"/>
    <w:rsid w:val="00B47792"/>
    <w:rsid w:val="00B47D3C"/>
    <w:rsid w:val="00B47E92"/>
    <w:rsid w:val="00B50600"/>
    <w:rsid w:val="00B50903"/>
    <w:rsid w:val="00B50A2B"/>
    <w:rsid w:val="00B50FA6"/>
    <w:rsid w:val="00B51200"/>
    <w:rsid w:val="00B519FB"/>
    <w:rsid w:val="00B52CF0"/>
    <w:rsid w:val="00B5329F"/>
    <w:rsid w:val="00B53DDD"/>
    <w:rsid w:val="00B53E86"/>
    <w:rsid w:val="00B54471"/>
    <w:rsid w:val="00B54603"/>
    <w:rsid w:val="00B54669"/>
    <w:rsid w:val="00B54A2C"/>
    <w:rsid w:val="00B54B15"/>
    <w:rsid w:val="00B54C9B"/>
    <w:rsid w:val="00B54D27"/>
    <w:rsid w:val="00B54E8A"/>
    <w:rsid w:val="00B5561A"/>
    <w:rsid w:val="00B557CF"/>
    <w:rsid w:val="00B560D2"/>
    <w:rsid w:val="00B5658B"/>
    <w:rsid w:val="00B56B67"/>
    <w:rsid w:val="00B56C59"/>
    <w:rsid w:val="00B56FA6"/>
    <w:rsid w:val="00B57085"/>
    <w:rsid w:val="00B57AA7"/>
    <w:rsid w:val="00B57CDF"/>
    <w:rsid w:val="00B57CE4"/>
    <w:rsid w:val="00B61114"/>
    <w:rsid w:val="00B613CB"/>
    <w:rsid w:val="00B615C8"/>
    <w:rsid w:val="00B617F5"/>
    <w:rsid w:val="00B61EC2"/>
    <w:rsid w:val="00B62385"/>
    <w:rsid w:val="00B6249F"/>
    <w:rsid w:val="00B62750"/>
    <w:rsid w:val="00B62E0E"/>
    <w:rsid w:val="00B62F1C"/>
    <w:rsid w:val="00B63502"/>
    <w:rsid w:val="00B63E95"/>
    <w:rsid w:val="00B63EF7"/>
    <w:rsid w:val="00B64182"/>
    <w:rsid w:val="00B64725"/>
    <w:rsid w:val="00B64745"/>
    <w:rsid w:val="00B64A45"/>
    <w:rsid w:val="00B64EAF"/>
    <w:rsid w:val="00B64EBE"/>
    <w:rsid w:val="00B65307"/>
    <w:rsid w:val="00B65D29"/>
    <w:rsid w:val="00B65E07"/>
    <w:rsid w:val="00B65E27"/>
    <w:rsid w:val="00B6609B"/>
    <w:rsid w:val="00B6609D"/>
    <w:rsid w:val="00B66643"/>
    <w:rsid w:val="00B667F1"/>
    <w:rsid w:val="00B668E3"/>
    <w:rsid w:val="00B671E5"/>
    <w:rsid w:val="00B672D4"/>
    <w:rsid w:val="00B673E0"/>
    <w:rsid w:val="00B6766D"/>
    <w:rsid w:val="00B67946"/>
    <w:rsid w:val="00B7148F"/>
    <w:rsid w:val="00B71927"/>
    <w:rsid w:val="00B71E48"/>
    <w:rsid w:val="00B71E58"/>
    <w:rsid w:val="00B721C4"/>
    <w:rsid w:val="00B721D4"/>
    <w:rsid w:val="00B7237D"/>
    <w:rsid w:val="00B72394"/>
    <w:rsid w:val="00B725F9"/>
    <w:rsid w:val="00B72B15"/>
    <w:rsid w:val="00B72C80"/>
    <w:rsid w:val="00B72D0F"/>
    <w:rsid w:val="00B72E3D"/>
    <w:rsid w:val="00B734D9"/>
    <w:rsid w:val="00B7370D"/>
    <w:rsid w:val="00B73B2A"/>
    <w:rsid w:val="00B73B8F"/>
    <w:rsid w:val="00B73C3D"/>
    <w:rsid w:val="00B74066"/>
    <w:rsid w:val="00B74E2C"/>
    <w:rsid w:val="00B7542C"/>
    <w:rsid w:val="00B754F0"/>
    <w:rsid w:val="00B756BB"/>
    <w:rsid w:val="00B757E7"/>
    <w:rsid w:val="00B75F8D"/>
    <w:rsid w:val="00B7610C"/>
    <w:rsid w:val="00B7614D"/>
    <w:rsid w:val="00B76150"/>
    <w:rsid w:val="00B76723"/>
    <w:rsid w:val="00B77082"/>
    <w:rsid w:val="00B80337"/>
    <w:rsid w:val="00B8054D"/>
    <w:rsid w:val="00B80D91"/>
    <w:rsid w:val="00B8135C"/>
    <w:rsid w:val="00B813D2"/>
    <w:rsid w:val="00B8158F"/>
    <w:rsid w:val="00B81911"/>
    <w:rsid w:val="00B81B26"/>
    <w:rsid w:val="00B81E70"/>
    <w:rsid w:val="00B8202D"/>
    <w:rsid w:val="00B823DE"/>
    <w:rsid w:val="00B8269B"/>
    <w:rsid w:val="00B82BA5"/>
    <w:rsid w:val="00B8311A"/>
    <w:rsid w:val="00B83C56"/>
    <w:rsid w:val="00B8450D"/>
    <w:rsid w:val="00B852C7"/>
    <w:rsid w:val="00B85536"/>
    <w:rsid w:val="00B8591F"/>
    <w:rsid w:val="00B868AB"/>
    <w:rsid w:val="00B86D2C"/>
    <w:rsid w:val="00B86FF3"/>
    <w:rsid w:val="00B87320"/>
    <w:rsid w:val="00B879D4"/>
    <w:rsid w:val="00B9018D"/>
    <w:rsid w:val="00B905F1"/>
    <w:rsid w:val="00B9077F"/>
    <w:rsid w:val="00B90C27"/>
    <w:rsid w:val="00B92272"/>
    <w:rsid w:val="00B92B20"/>
    <w:rsid w:val="00B92B57"/>
    <w:rsid w:val="00B9374A"/>
    <w:rsid w:val="00B94388"/>
    <w:rsid w:val="00B943B0"/>
    <w:rsid w:val="00B9457D"/>
    <w:rsid w:val="00B94DCC"/>
    <w:rsid w:val="00B94E33"/>
    <w:rsid w:val="00B94E73"/>
    <w:rsid w:val="00B94EBA"/>
    <w:rsid w:val="00B94F8E"/>
    <w:rsid w:val="00B950AE"/>
    <w:rsid w:val="00B9578F"/>
    <w:rsid w:val="00B95841"/>
    <w:rsid w:val="00B95E1D"/>
    <w:rsid w:val="00B9621F"/>
    <w:rsid w:val="00B966F7"/>
    <w:rsid w:val="00B96781"/>
    <w:rsid w:val="00B967BC"/>
    <w:rsid w:val="00B96C75"/>
    <w:rsid w:val="00B96CCD"/>
    <w:rsid w:val="00B97C24"/>
    <w:rsid w:val="00BA0000"/>
    <w:rsid w:val="00BA06D8"/>
    <w:rsid w:val="00BA0BD8"/>
    <w:rsid w:val="00BA0E52"/>
    <w:rsid w:val="00BA119A"/>
    <w:rsid w:val="00BA187A"/>
    <w:rsid w:val="00BA1A2F"/>
    <w:rsid w:val="00BA2800"/>
    <w:rsid w:val="00BA2941"/>
    <w:rsid w:val="00BA31E1"/>
    <w:rsid w:val="00BA36FB"/>
    <w:rsid w:val="00BA371D"/>
    <w:rsid w:val="00BA4AEB"/>
    <w:rsid w:val="00BA4CC5"/>
    <w:rsid w:val="00BA4F30"/>
    <w:rsid w:val="00BA50EE"/>
    <w:rsid w:val="00BA562F"/>
    <w:rsid w:val="00BA5963"/>
    <w:rsid w:val="00BA5BA5"/>
    <w:rsid w:val="00BA64FD"/>
    <w:rsid w:val="00BA655E"/>
    <w:rsid w:val="00BA70A7"/>
    <w:rsid w:val="00BA7708"/>
    <w:rsid w:val="00BA79C5"/>
    <w:rsid w:val="00BB014D"/>
    <w:rsid w:val="00BB0399"/>
    <w:rsid w:val="00BB06A6"/>
    <w:rsid w:val="00BB0A5B"/>
    <w:rsid w:val="00BB0CA6"/>
    <w:rsid w:val="00BB0CC6"/>
    <w:rsid w:val="00BB0E18"/>
    <w:rsid w:val="00BB0EF9"/>
    <w:rsid w:val="00BB1199"/>
    <w:rsid w:val="00BB23AA"/>
    <w:rsid w:val="00BB2407"/>
    <w:rsid w:val="00BB2547"/>
    <w:rsid w:val="00BB28F5"/>
    <w:rsid w:val="00BB2B37"/>
    <w:rsid w:val="00BB3659"/>
    <w:rsid w:val="00BB36EE"/>
    <w:rsid w:val="00BB3B2C"/>
    <w:rsid w:val="00BB3E3C"/>
    <w:rsid w:val="00BB3FFB"/>
    <w:rsid w:val="00BB40A8"/>
    <w:rsid w:val="00BB4405"/>
    <w:rsid w:val="00BB44B4"/>
    <w:rsid w:val="00BB57D2"/>
    <w:rsid w:val="00BB5A89"/>
    <w:rsid w:val="00BB5F4F"/>
    <w:rsid w:val="00BB5F72"/>
    <w:rsid w:val="00BB6207"/>
    <w:rsid w:val="00BB63CB"/>
    <w:rsid w:val="00BB63DC"/>
    <w:rsid w:val="00BB69B2"/>
    <w:rsid w:val="00BB6E5D"/>
    <w:rsid w:val="00BB6EF3"/>
    <w:rsid w:val="00BB71B9"/>
    <w:rsid w:val="00BB727E"/>
    <w:rsid w:val="00BB78DB"/>
    <w:rsid w:val="00BB7AD7"/>
    <w:rsid w:val="00BB7D09"/>
    <w:rsid w:val="00BB7E75"/>
    <w:rsid w:val="00BB7F52"/>
    <w:rsid w:val="00BC02A9"/>
    <w:rsid w:val="00BC06E6"/>
    <w:rsid w:val="00BC1CE7"/>
    <w:rsid w:val="00BC2654"/>
    <w:rsid w:val="00BC28D6"/>
    <w:rsid w:val="00BC2A7F"/>
    <w:rsid w:val="00BC30F3"/>
    <w:rsid w:val="00BC321E"/>
    <w:rsid w:val="00BC3673"/>
    <w:rsid w:val="00BC3E42"/>
    <w:rsid w:val="00BC3F00"/>
    <w:rsid w:val="00BC3F28"/>
    <w:rsid w:val="00BC43ED"/>
    <w:rsid w:val="00BC4C85"/>
    <w:rsid w:val="00BC4FAF"/>
    <w:rsid w:val="00BC5037"/>
    <w:rsid w:val="00BC50F6"/>
    <w:rsid w:val="00BC51B7"/>
    <w:rsid w:val="00BC66F8"/>
    <w:rsid w:val="00BC6E43"/>
    <w:rsid w:val="00BC6F5E"/>
    <w:rsid w:val="00BC71F0"/>
    <w:rsid w:val="00BD04A5"/>
    <w:rsid w:val="00BD0947"/>
    <w:rsid w:val="00BD0A90"/>
    <w:rsid w:val="00BD0CF0"/>
    <w:rsid w:val="00BD1182"/>
    <w:rsid w:val="00BD11BB"/>
    <w:rsid w:val="00BD1735"/>
    <w:rsid w:val="00BD1E4C"/>
    <w:rsid w:val="00BD208D"/>
    <w:rsid w:val="00BD2739"/>
    <w:rsid w:val="00BD2D2F"/>
    <w:rsid w:val="00BD2E26"/>
    <w:rsid w:val="00BD2FDF"/>
    <w:rsid w:val="00BD36CD"/>
    <w:rsid w:val="00BD46A0"/>
    <w:rsid w:val="00BD47B6"/>
    <w:rsid w:val="00BD4AB5"/>
    <w:rsid w:val="00BD4F44"/>
    <w:rsid w:val="00BD525B"/>
    <w:rsid w:val="00BD5D26"/>
    <w:rsid w:val="00BD67AF"/>
    <w:rsid w:val="00BD701B"/>
    <w:rsid w:val="00BD728A"/>
    <w:rsid w:val="00BD733E"/>
    <w:rsid w:val="00BD75A1"/>
    <w:rsid w:val="00BD785D"/>
    <w:rsid w:val="00BE029C"/>
    <w:rsid w:val="00BE065E"/>
    <w:rsid w:val="00BE0DFA"/>
    <w:rsid w:val="00BE12A0"/>
    <w:rsid w:val="00BE1A0D"/>
    <w:rsid w:val="00BE2305"/>
    <w:rsid w:val="00BE2504"/>
    <w:rsid w:val="00BE2C81"/>
    <w:rsid w:val="00BE2D51"/>
    <w:rsid w:val="00BE2DCF"/>
    <w:rsid w:val="00BE3037"/>
    <w:rsid w:val="00BE3612"/>
    <w:rsid w:val="00BE4615"/>
    <w:rsid w:val="00BE5049"/>
    <w:rsid w:val="00BE5879"/>
    <w:rsid w:val="00BE61D2"/>
    <w:rsid w:val="00BE6796"/>
    <w:rsid w:val="00BE6C1B"/>
    <w:rsid w:val="00BE6F10"/>
    <w:rsid w:val="00BE7324"/>
    <w:rsid w:val="00BE77C8"/>
    <w:rsid w:val="00BE7BF9"/>
    <w:rsid w:val="00BE7E4B"/>
    <w:rsid w:val="00BF0AD5"/>
    <w:rsid w:val="00BF0CF0"/>
    <w:rsid w:val="00BF1892"/>
    <w:rsid w:val="00BF20A3"/>
    <w:rsid w:val="00BF2170"/>
    <w:rsid w:val="00BF2492"/>
    <w:rsid w:val="00BF249B"/>
    <w:rsid w:val="00BF26B3"/>
    <w:rsid w:val="00BF341C"/>
    <w:rsid w:val="00BF392C"/>
    <w:rsid w:val="00BF3A22"/>
    <w:rsid w:val="00BF3CC6"/>
    <w:rsid w:val="00BF3F7F"/>
    <w:rsid w:val="00BF4077"/>
    <w:rsid w:val="00BF4189"/>
    <w:rsid w:val="00BF4750"/>
    <w:rsid w:val="00BF5121"/>
    <w:rsid w:val="00BF59BE"/>
    <w:rsid w:val="00BF5FBD"/>
    <w:rsid w:val="00BF6152"/>
    <w:rsid w:val="00BF73C2"/>
    <w:rsid w:val="00BF760B"/>
    <w:rsid w:val="00BF76D3"/>
    <w:rsid w:val="00BF7B2A"/>
    <w:rsid w:val="00BF7D76"/>
    <w:rsid w:val="00BF7DC4"/>
    <w:rsid w:val="00C00201"/>
    <w:rsid w:val="00C00264"/>
    <w:rsid w:val="00C00925"/>
    <w:rsid w:val="00C0179C"/>
    <w:rsid w:val="00C021E0"/>
    <w:rsid w:val="00C025D3"/>
    <w:rsid w:val="00C0280A"/>
    <w:rsid w:val="00C0376C"/>
    <w:rsid w:val="00C03E97"/>
    <w:rsid w:val="00C040AF"/>
    <w:rsid w:val="00C04A76"/>
    <w:rsid w:val="00C04A9D"/>
    <w:rsid w:val="00C04B09"/>
    <w:rsid w:val="00C0566F"/>
    <w:rsid w:val="00C059FE"/>
    <w:rsid w:val="00C05A91"/>
    <w:rsid w:val="00C060D1"/>
    <w:rsid w:val="00C064DF"/>
    <w:rsid w:val="00C06857"/>
    <w:rsid w:val="00C073EE"/>
    <w:rsid w:val="00C07797"/>
    <w:rsid w:val="00C077DD"/>
    <w:rsid w:val="00C1063A"/>
    <w:rsid w:val="00C11028"/>
    <w:rsid w:val="00C113CA"/>
    <w:rsid w:val="00C11CB6"/>
    <w:rsid w:val="00C11E56"/>
    <w:rsid w:val="00C11F21"/>
    <w:rsid w:val="00C1253B"/>
    <w:rsid w:val="00C125C7"/>
    <w:rsid w:val="00C129EE"/>
    <w:rsid w:val="00C12EB4"/>
    <w:rsid w:val="00C133E7"/>
    <w:rsid w:val="00C13A42"/>
    <w:rsid w:val="00C13D85"/>
    <w:rsid w:val="00C13E28"/>
    <w:rsid w:val="00C14D83"/>
    <w:rsid w:val="00C14ECB"/>
    <w:rsid w:val="00C14ED6"/>
    <w:rsid w:val="00C15218"/>
    <w:rsid w:val="00C15643"/>
    <w:rsid w:val="00C16309"/>
    <w:rsid w:val="00C1643F"/>
    <w:rsid w:val="00C16616"/>
    <w:rsid w:val="00C16662"/>
    <w:rsid w:val="00C16F62"/>
    <w:rsid w:val="00C17147"/>
    <w:rsid w:val="00C17295"/>
    <w:rsid w:val="00C172AC"/>
    <w:rsid w:val="00C17654"/>
    <w:rsid w:val="00C176BE"/>
    <w:rsid w:val="00C1780A"/>
    <w:rsid w:val="00C20243"/>
    <w:rsid w:val="00C21649"/>
    <w:rsid w:val="00C21777"/>
    <w:rsid w:val="00C2287C"/>
    <w:rsid w:val="00C2298F"/>
    <w:rsid w:val="00C22E32"/>
    <w:rsid w:val="00C23B9E"/>
    <w:rsid w:val="00C2420F"/>
    <w:rsid w:val="00C244E9"/>
    <w:rsid w:val="00C248F4"/>
    <w:rsid w:val="00C24B16"/>
    <w:rsid w:val="00C250D7"/>
    <w:rsid w:val="00C255B8"/>
    <w:rsid w:val="00C25AE8"/>
    <w:rsid w:val="00C25B06"/>
    <w:rsid w:val="00C2634C"/>
    <w:rsid w:val="00C263C4"/>
    <w:rsid w:val="00C2640C"/>
    <w:rsid w:val="00C265D5"/>
    <w:rsid w:val="00C26E00"/>
    <w:rsid w:val="00C27335"/>
    <w:rsid w:val="00C273DE"/>
    <w:rsid w:val="00C2747E"/>
    <w:rsid w:val="00C27894"/>
    <w:rsid w:val="00C27ADE"/>
    <w:rsid w:val="00C30B84"/>
    <w:rsid w:val="00C31084"/>
    <w:rsid w:val="00C315B8"/>
    <w:rsid w:val="00C315DC"/>
    <w:rsid w:val="00C31994"/>
    <w:rsid w:val="00C31F56"/>
    <w:rsid w:val="00C32002"/>
    <w:rsid w:val="00C32B0F"/>
    <w:rsid w:val="00C32C13"/>
    <w:rsid w:val="00C33491"/>
    <w:rsid w:val="00C33B05"/>
    <w:rsid w:val="00C33F03"/>
    <w:rsid w:val="00C342F1"/>
    <w:rsid w:val="00C348F6"/>
    <w:rsid w:val="00C34EE7"/>
    <w:rsid w:val="00C351C9"/>
    <w:rsid w:val="00C35CA6"/>
    <w:rsid w:val="00C36427"/>
    <w:rsid w:val="00C36B39"/>
    <w:rsid w:val="00C36D28"/>
    <w:rsid w:val="00C3737A"/>
    <w:rsid w:val="00C375E7"/>
    <w:rsid w:val="00C4074A"/>
    <w:rsid w:val="00C409A4"/>
    <w:rsid w:val="00C412CE"/>
    <w:rsid w:val="00C414F4"/>
    <w:rsid w:val="00C415A5"/>
    <w:rsid w:val="00C420E6"/>
    <w:rsid w:val="00C43ED6"/>
    <w:rsid w:val="00C44272"/>
    <w:rsid w:val="00C4585B"/>
    <w:rsid w:val="00C45B12"/>
    <w:rsid w:val="00C46058"/>
    <w:rsid w:val="00C466D8"/>
    <w:rsid w:val="00C46758"/>
    <w:rsid w:val="00C46F46"/>
    <w:rsid w:val="00C475F9"/>
    <w:rsid w:val="00C4766C"/>
    <w:rsid w:val="00C47B50"/>
    <w:rsid w:val="00C47D42"/>
    <w:rsid w:val="00C47D47"/>
    <w:rsid w:val="00C47DCD"/>
    <w:rsid w:val="00C47E20"/>
    <w:rsid w:val="00C47E46"/>
    <w:rsid w:val="00C50A55"/>
    <w:rsid w:val="00C50AAB"/>
    <w:rsid w:val="00C51CEA"/>
    <w:rsid w:val="00C51EEC"/>
    <w:rsid w:val="00C525E0"/>
    <w:rsid w:val="00C532AB"/>
    <w:rsid w:val="00C53576"/>
    <w:rsid w:val="00C53789"/>
    <w:rsid w:val="00C541B6"/>
    <w:rsid w:val="00C545DC"/>
    <w:rsid w:val="00C55E91"/>
    <w:rsid w:val="00C55FB4"/>
    <w:rsid w:val="00C560E6"/>
    <w:rsid w:val="00C56EF6"/>
    <w:rsid w:val="00C57178"/>
    <w:rsid w:val="00C57CE0"/>
    <w:rsid w:val="00C6071C"/>
    <w:rsid w:val="00C60B46"/>
    <w:rsid w:val="00C61050"/>
    <w:rsid w:val="00C612F9"/>
    <w:rsid w:val="00C61AD1"/>
    <w:rsid w:val="00C62E8D"/>
    <w:rsid w:val="00C6345D"/>
    <w:rsid w:val="00C63992"/>
    <w:rsid w:val="00C63FE9"/>
    <w:rsid w:val="00C643B2"/>
    <w:rsid w:val="00C6474A"/>
    <w:rsid w:val="00C64B2D"/>
    <w:rsid w:val="00C64C27"/>
    <w:rsid w:val="00C64DB4"/>
    <w:rsid w:val="00C6541C"/>
    <w:rsid w:val="00C65FC4"/>
    <w:rsid w:val="00C66A82"/>
    <w:rsid w:val="00C66D5F"/>
    <w:rsid w:val="00C66E44"/>
    <w:rsid w:val="00C66F0B"/>
    <w:rsid w:val="00C677E7"/>
    <w:rsid w:val="00C679E4"/>
    <w:rsid w:val="00C67E40"/>
    <w:rsid w:val="00C67F62"/>
    <w:rsid w:val="00C70B2D"/>
    <w:rsid w:val="00C71306"/>
    <w:rsid w:val="00C7149B"/>
    <w:rsid w:val="00C715B2"/>
    <w:rsid w:val="00C71CCF"/>
    <w:rsid w:val="00C72506"/>
    <w:rsid w:val="00C726C5"/>
    <w:rsid w:val="00C7312A"/>
    <w:rsid w:val="00C7315D"/>
    <w:rsid w:val="00C732FC"/>
    <w:rsid w:val="00C7333B"/>
    <w:rsid w:val="00C73C93"/>
    <w:rsid w:val="00C74D56"/>
    <w:rsid w:val="00C7545B"/>
    <w:rsid w:val="00C75A9C"/>
    <w:rsid w:val="00C75F02"/>
    <w:rsid w:val="00C76827"/>
    <w:rsid w:val="00C769D7"/>
    <w:rsid w:val="00C769EE"/>
    <w:rsid w:val="00C76CBC"/>
    <w:rsid w:val="00C76D29"/>
    <w:rsid w:val="00C774F4"/>
    <w:rsid w:val="00C77716"/>
    <w:rsid w:val="00C779F4"/>
    <w:rsid w:val="00C77A7A"/>
    <w:rsid w:val="00C77CF6"/>
    <w:rsid w:val="00C77D86"/>
    <w:rsid w:val="00C80860"/>
    <w:rsid w:val="00C81B9A"/>
    <w:rsid w:val="00C81F96"/>
    <w:rsid w:val="00C82457"/>
    <w:rsid w:val="00C828D2"/>
    <w:rsid w:val="00C82B3A"/>
    <w:rsid w:val="00C82EEA"/>
    <w:rsid w:val="00C831C5"/>
    <w:rsid w:val="00C836FD"/>
    <w:rsid w:val="00C838A9"/>
    <w:rsid w:val="00C83D8B"/>
    <w:rsid w:val="00C84158"/>
    <w:rsid w:val="00C845F0"/>
    <w:rsid w:val="00C84915"/>
    <w:rsid w:val="00C84E05"/>
    <w:rsid w:val="00C84FA5"/>
    <w:rsid w:val="00C85354"/>
    <w:rsid w:val="00C85602"/>
    <w:rsid w:val="00C8562A"/>
    <w:rsid w:val="00C8578C"/>
    <w:rsid w:val="00C86164"/>
    <w:rsid w:val="00C86685"/>
    <w:rsid w:val="00C86BF3"/>
    <w:rsid w:val="00C87035"/>
    <w:rsid w:val="00C87083"/>
    <w:rsid w:val="00C87414"/>
    <w:rsid w:val="00C876C2"/>
    <w:rsid w:val="00C90BE5"/>
    <w:rsid w:val="00C90D07"/>
    <w:rsid w:val="00C910DF"/>
    <w:rsid w:val="00C919C6"/>
    <w:rsid w:val="00C92590"/>
    <w:rsid w:val="00C92AB5"/>
    <w:rsid w:val="00C92AFE"/>
    <w:rsid w:val="00C92BA4"/>
    <w:rsid w:val="00C9480A"/>
    <w:rsid w:val="00C94A24"/>
    <w:rsid w:val="00C94AD8"/>
    <w:rsid w:val="00C94CFB"/>
    <w:rsid w:val="00C953A3"/>
    <w:rsid w:val="00C95508"/>
    <w:rsid w:val="00C95633"/>
    <w:rsid w:val="00C95790"/>
    <w:rsid w:val="00C96AB6"/>
    <w:rsid w:val="00C96F2E"/>
    <w:rsid w:val="00C96FB4"/>
    <w:rsid w:val="00C976A6"/>
    <w:rsid w:val="00CA0A27"/>
    <w:rsid w:val="00CA0E9A"/>
    <w:rsid w:val="00CA0FAF"/>
    <w:rsid w:val="00CA1C6A"/>
    <w:rsid w:val="00CA2181"/>
    <w:rsid w:val="00CA256B"/>
    <w:rsid w:val="00CA264A"/>
    <w:rsid w:val="00CA2A78"/>
    <w:rsid w:val="00CA33EA"/>
    <w:rsid w:val="00CA3805"/>
    <w:rsid w:val="00CA39A1"/>
    <w:rsid w:val="00CA4059"/>
    <w:rsid w:val="00CA4176"/>
    <w:rsid w:val="00CA4ED6"/>
    <w:rsid w:val="00CA63B4"/>
    <w:rsid w:val="00CA6DA6"/>
    <w:rsid w:val="00CA6E89"/>
    <w:rsid w:val="00CB0535"/>
    <w:rsid w:val="00CB0791"/>
    <w:rsid w:val="00CB0889"/>
    <w:rsid w:val="00CB0EE1"/>
    <w:rsid w:val="00CB1D96"/>
    <w:rsid w:val="00CB2643"/>
    <w:rsid w:val="00CB28B4"/>
    <w:rsid w:val="00CB2AEE"/>
    <w:rsid w:val="00CB3CB8"/>
    <w:rsid w:val="00CB3E97"/>
    <w:rsid w:val="00CB4134"/>
    <w:rsid w:val="00CB440E"/>
    <w:rsid w:val="00CB4658"/>
    <w:rsid w:val="00CB4ACD"/>
    <w:rsid w:val="00CB50A4"/>
    <w:rsid w:val="00CB51D2"/>
    <w:rsid w:val="00CB5466"/>
    <w:rsid w:val="00CB5576"/>
    <w:rsid w:val="00CB56E4"/>
    <w:rsid w:val="00CB5AD5"/>
    <w:rsid w:val="00CB5D8E"/>
    <w:rsid w:val="00CB62DA"/>
    <w:rsid w:val="00CB63CD"/>
    <w:rsid w:val="00CB670B"/>
    <w:rsid w:val="00CB6C62"/>
    <w:rsid w:val="00CB6E11"/>
    <w:rsid w:val="00CB70DE"/>
    <w:rsid w:val="00CB7EC5"/>
    <w:rsid w:val="00CB7F1E"/>
    <w:rsid w:val="00CC0445"/>
    <w:rsid w:val="00CC0C78"/>
    <w:rsid w:val="00CC0FD8"/>
    <w:rsid w:val="00CC1534"/>
    <w:rsid w:val="00CC1972"/>
    <w:rsid w:val="00CC1BB7"/>
    <w:rsid w:val="00CC1CE3"/>
    <w:rsid w:val="00CC3011"/>
    <w:rsid w:val="00CC309C"/>
    <w:rsid w:val="00CC3527"/>
    <w:rsid w:val="00CC36B0"/>
    <w:rsid w:val="00CC3995"/>
    <w:rsid w:val="00CC39DE"/>
    <w:rsid w:val="00CC3FBD"/>
    <w:rsid w:val="00CC5140"/>
    <w:rsid w:val="00CC589A"/>
    <w:rsid w:val="00CC61AD"/>
    <w:rsid w:val="00CC6C76"/>
    <w:rsid w:val="00CC7305"/>
    <w:rsid w:val="00CC76F3"/>
    <w:rsid w:val="00CD0397"/>
    <w:rsid w:val="00CD086E"/>
    <w:rsid w:val="00CD123A"/>
    <w:rsid w:val="00CD1C77"/>
    <w:rsid w:val="00CD1F49"/>
    <w:rsid w:val="00CD205C"/>
    <w:rsid w:val="00CD23C9"/>
    <w:rsid w:val="00CD2A27"/>
    <w:rsid w:val="00CD2A7F"/>
    <w:rsid w:val="00CD2EB5"/>
    <w:rsid w:val="00CD30F5"/>
    <w:rsid w:val="00CD313F"/>
    <w:rsid w:val="00CD3390"/>
    <w:rsid w:val="00CD3496"/>
    <w:rsid w:val="00CD3B7C"/>
    <w:rsid w:val="00CD3B91"/>
    <w:rsid w:val="00CD3DF5"/>
    <w:rsid w:val="00CD40BC"/>
    <w:rsid w:val="00CD4286"/>
    <w:rsid w:val="00CD42AB"/>
    <w:rsid w:val="00CD457F"/>
    <w:rsid w:val="00CD46AA"/>
    <w:rsid w:val="00CD4814"/>
    <w:rsid w:val="00CD51ED"/>
    <w:rsid w:val="00CD5A1A"/>
    <w:rsid w:val="00CD640D"/>
    <w:rsid w:val="00CD6728"/>
    <w:rsid w:val="00CD7599"/>
    <w:rsid w:val="00CD773A"/>
    <w:rsid w:val="00CD7BF5"/>
    <w:rsid w:val="00CD7F2F"/>
    <w:rsid w:val="00CE0803"/>
    <w:rsid w:val="00CE0E3D"/>
    <w:rsid w:val="00CE0FB8"/>
    <w:rsid w:val="00CE1065"/>
    <w:rsid w:val="00CE146D"/>
    <w:rsid w:val="00CE1F65"/>
    <w:rsid w:val="00CE1F7A"/>
    <w:rsid w:val="00CE2267"/>
    <w:rsid w:val="00CE2FB7"/>
    <w:rsid w:val="00CE328D"/>
    <w:rsid w:val="00CE34D0"/>
    <w:rsid w:val="00CE39E3"/>
    <w:rsid w:val="00CE3A81"/>
    <w:rsid w:val="00CE3F41"/>
    <w:rsid w:val="00CE51A8"/>
    <w:rsid w:val="00CE53F1"/>
    <w:rsid w:val="00CE5714"/>
    <w:rsid w:val="00CE608B"/>
    <w:rsid w:val="00CE618C"/>
    <w:rsid w:val="00CE6654"/>
    <w:rsid w:val="00CE6751"/>
    <w:rsid w:val="00CE6831"/>
    <w:rsid w:val="00CE6B46"/>
    <w:rsid w:val="00CE7210"/>
    <w:rsid w:val="00CE7883"/>
    <w:rsid w:val="00CE790B"/>
    <w:rsid w:val="00CE7B09"/>
    <w:rsid w:val="00CE7CC2"/>
    <w:rsid w:val="00CF0414"/>
    <w:rsid w:val="00CF05E5"/>
    <w:rsid w:val="00CF0D3F"/>
    <w:rsid w:val="00CF17B2"/>
    <w:rsid w:val="00CF1DB0"/>
    <w:rsid w:val="00CF27C8"/>
    <w:rsid w:val="00CF2AE1"/>
    <w:rsid w:val="00CF2E30"/>
    <w:rsid w:val="00CF30B5"/>
    <w:rsid w:val="00CF3D1C"/>
    <w:rsid w:val="00CF3D89"/>
    <w:rsid w:val="00CF50F2"/>
    <w:rsid w:val="00CF51D7"/>
    <w:rsid w:val="00CF57BA"/>
    <w:rsid w:val="00CF591D"/>
    <w:rsid w:val="00CF6330"/>
    <w:rsid w:val="00CF6C96"/>
    <w:rsid w:val="00CF6C9B"/>
    <w:rsid w:val="00CF745C"/>
    <w:rsid w:val="00CF754A"/>
    <w:rsid w:val="00CF775C"/>
    <w:rsid w:val="00CF7AF2"/>
    <w:rsid w:val="00CF7C95"/>
    <w:rsid w:val="00D0024B"/>
    <w:rsid w:val="00D00807"/>
    <w:rsid w:val="00D0084D"/>
    <w:rsid w:val="00D01004"/>
    <w:rsid w:val="00D01120"/>
    <w:rsid w:val="00D01FF0"/>
    <w:rsid w:val="00D026C3"/>
    <w:rsid w:val="00D028CC"/>
    <w:rsid w:val="00D02D1D"/>
    <w:rsid w:val="00D02F78"/>
    <w:rsid w:val="00D030FD"/>
    <w:rsid w:val="00D035D2"/>
    <w:rsid w:val="00D03B4E"/>
    <w:rsid w:val="00D03EC6"/>
    <w:rsid w:val="00D0421F"/>
    <w:rsid w:val="00D04C16"/>
    <w:rsid w:val="00D04E20"/>
    <w:rsid w:val="00D0509C"/>
    <w:rsid w:val="00D0542C"/>
    <w:rsid w:val="00D05AB0"/>
    <w:rsid w:val="00D0623E"/>
    <w:rsid w:val="00D062D5"/>
    <w:rsid w:val="00D0637D"/>
    <w:rsid w:val="00D06A03"/>
    <w:rsid w:val="00D06FC5"/>
    <w:rsid w:val="00D070E0"/>
    <w:rsid w:val="00D0723A"/>
    <w:rsid w:val="00D079CC"/>
    <w:rsid w:val="00D07FBD"/>
    <w:rsid w:val="00D10221"/>
    <w:rsid w:val="00D104D7"/>
    <w:rsid w:val="00D1068A"/>
    <w:rsid w:val="00D10BAB"/>
    <w:rsid w:val="00D10F18"/>
    <w:rsid w:val="00D118C2"/>
    <w:rsid w:val="00D12D0D"/>
    <w:rsid w:val="00D1329F"/>
    <w:rsid w:val="00D13595"/>
    <w:rsid w:val="00D1418B"/>
    <w:rsid w:val="00D14492"/>
    <w:rsid w:val="00D1457D"/>
    <w:rsid w:val="00D14938"/>
    <w:rsid w:val="00D1507C"/>
    <w:rsid w:val="00D15A40"/>
    <w:rsid w:val="00D16722"/>
    <w:rsid w:val="00D16871"/>
    <w:rsid w:val="00D17027"/>
    <w:rsid w:val="00D171FC"/>
    <w:rsid w:val="00D17598"/>
    <w:rsid w:val="00D178C5"/>
    <w:rsid w:val="00D178E8"/>
    <w:rsid w:val="00D209B3"/>
    <w:rsid w:val="00D2157D"/>
    <w:rsid w:val="00D216BE"/>
    <w:rsid w:val="00D217BF"/>
    <w:rsid w:val="00D22299"/>
    <w:rsid w:val="00D22C93"/>
    <w:rsid w:val="00D23352"/>
    <w:rsid w:val="00D2421D"/>
    <w:rsid w:val="00D2427C"/>
    <w:rsid w:val="00D244D2"/>
    <w:rsid w:val="00D25016"/>
    <w:rsid w:val="00D25A0D"/>
    <w:rsid w:val="00D25A57"/>
    <w:rsid w:val="00D25ECC"/>
    <w:rsid w:val="00D25F58"/>
    <w:rsid w:val="00D2600C"/>
    <w:rsid w:val="00D26064"/>
    <w:rsid w:val="00D262A7"/>
    <w:rsid w:val="00D2644F"/>
    <w:rsid w:val="00D2651E"/>
    <w:rsid w:val="00D26E44"/>
    <w:rsid w:val="00D27015"/>
    <w:rsid w:val="00D273A8"/>
    <w:rsid w:val="00D27657"/>
    <w:rsid w:val="00D27C11"/>
    <w:rsid w:val="00D3030F"/>
    <w:rsid w:val="00D30327"/>
    <w:rsid w:val="00D305B3"/>
    <w:rsid w:val="00D30747"/>
    <w:rsid w:val="00D30CFF"/>
    <w:rsid w:val="00D30E2C"/>
    <w:rsid w:val="00D31AAB"/>
    <w:rsid w:val="00D31AE2"/>
    <w:rsid w:val="00D31C5D"/>
    <w:rsid w:val="00D31CB5"/>
    <w:rsid w:val="00D32846"/>
    <w:rsid w:val="00D32865"/>
    <w:rsid w:val="00D3329F"/>
    <w:rsid w:val="00D33AED"/>
    <w:rsid w:val="00D33EE5"/>
    <w:rsid w:val="00D34B26"/>
    <w:rsid w:val="00D35435"/>
    <w:rsid w:val="00D35653"/>
    <w:rsid w:val="00D35D85"/>
    <w:rsid w:val="00D362C1"/>
    <w:rsid w:val="00D364C5"/>
    <w:rsid w:val="00D366B5"/>
    <w:rsid w:val="00D3679C"/>
    <w:rsid w:val="00D36C34"/>
    <w:rsid w:val="00D370CC"/>
    <w:rsid w:val="00D37384"/>
    <w:rsid w:val="00D376D4"/>
    <w:rsid w:val="00D405AB"/>
    <w:rsid w:val="00D409B2"/>
    <w:rsid w:val="00D40D95"/>
    <w:rsid w:val="00D40E5C"/>
    <w:rsid w:val="00D40EBD"/>
    <w:rsid w:val="00D40F3C"/>
    <w:rsid w:val="00D41B28"/>
    <w:rsid w:val="00D42183"/>
    <w:rsid w:val="00D4237D"/>
    <w:rsid w:val="00D42476"/>
    <w:rsid w:val="00D425CA"/>
    <w:rsid w:val="00D42755"/>
    <w:rsid w:val="00D42FEF"/>
    <w:rsid w:val="00D43829"/>
    <w:rsid w:val="00D43E70"/>
    <w:rsid w:val="00D44467"/>
    <w:rsid w:val="00D44B79"/>
    <w:rsid w:val="00D45671"/>
    <w:rsid w:val="00D4586A"/>
    <w:rsid w:val="00D45959"/>
    <w:rsid w:val="00D45FB6"/>
    <w:rsid w:val="00D46409"/>
    <w:rsid w:val="00D4759F"/>
    <w:rsid w:val="00D478C2"/>
    <w:rsid w:val="00D478DC"/>
    <w:rsid w:val="00D479EF"/>
    <w:rsid w:val="00D47B83"/>
    <w:rsid w:val="00D47D3E"/>
    <w:rsid w:val="00D50103"/>
    <w:rsid w:val="00D5046D"/>
    <w:rsid w:val="00D50626"/>
    <w:rsid w:val="00D50A39"/>
    <w:rsid w:val="00D50A45"/>
    <w:rsid w:val="00D50F09"/>
    <w:rsid w:val="00D510D1"/>
    <w:rsid w:val="00D51610"/>
    <w:rsid w:val="00D51A5D"/>
    <w:rsid w:val="00D522D3"/>
    <w:rsid w:val="00D5308F"/>
    <w:rsid w:val="00D530BF"/>
    <w:rsid w:val="00D5325C"/>
    <w:rsid w:val="00D53441"/>
    <w:rsid w:val="00D53771"/>
    <w:rsid w:val="00D54369"/>
    <w:rsid w:val="00D55108"/>
    <w:rsid w:val="00D55431"/>
    <w:rsid w:val="00D55543"/>
    <w:rsid w:val="00D55818"/>
    <w:rsid w:val="00D5592A"/>
    <w:rsid w:val="00D559CC"/>
    <w:rsid w:val="00D55F74"/>
    <w:rsid w:val="00D55FF2"/>
    <w:rsid w:val="00D564C7"/>
    <w:rsid w:val="00D567C0"/>
    <w:rsid w:val="00D567D0"/>
    <w:rsid w:val="00D56B72"/>
    <w:rsid w:val="00D56D17"/>
    <w:rsid w:val="00D56DFA"/>
    <w:rsid w:val="00D5741C"/>
    <w:rsid w:val="00D57848"/>
    <w:rsid w:val="00D57D9B"/>
    <w:rsid w:val="00D60240"/>
    <w:rsid w:val="00D6052E"/>
    <w:rsid w:val="00D608C3"/>
    <w:rsid w:val="00D60B55"/>
    <w:rsid w:val="00D61417"/>
    <w:rsid w:val="00D61A32"/>
    <w:rsid w:val="00D621DE"/>
    <w:rsid w:val="00D626FF"/>
    <w:rsid w:val="00D631C9"/>
    <w:rsid w:val="00D63B04"/>
    <w:rsid w:val="00D63DC3"/>
    <w:rsid w:val="00D63DFB"/>
    <w:rsid w:val="00D644BD"/>
    <w:rsid w:val="00D64DA6"/>
    <w:rsid w:val="00D65680"/>
    <w:rsid w:val="00D65CCF"/>
    <w:rsid w:val="00D66282"/>
    <w:rsid w:val="00D665E1"/>
    <w:rsid w:val="00D6701E"/>
    <w:rsid w:val="00D67254"/>
    <w:rsid w:val="00D675DF"/>
    <w:rsid w:val="00D6769F"/>
    <w:rsid w:val="00D67883"/>
    <w:rsid w:val="00D67C56"/>
    <w:rsid w:val="00D67D3E"/>
    <w:rsid w:val="00D705BA"/>
    <w:rsid w:val="00D70663"/>
    <w:rsid w:val="00D707DA"/>
    <w:rsid w:val="00D70810"/>
    <w:rsid w:val="00D7162A"/>
    <w:rsid w:val="00D71D6D"/>
    <w:rsid w:val="00D71E69"/>
    <w:rsid w:val="00D7232B"/>
    <w:rsid w:val="00D723DC"/>
    <w:rsid w:val="00D729DE"/>
    <w:rsid w:val="00D72EBB"/>
    <w:rsid w:val="00D73607"/>
    <w:rsid w:val="00D73703"/>
    <w:rsid w:val="00D73D5C"/>
    <w:rsid w:val="00D7421B"/>
    <w:rsid w:val="00D7487E"/>
    <w:rsid w:val="00D74C5A"/>
    <w:rsid w:val="00D74D5A"/>
    <w:rsid w:val="00D75CD3"/>
    <w:rsid w:val="00D76081"/>
    <w:rsid w:val="00D76225"/>
    <w:rsid w:val="00D762DF"/>
    <w:rsid w:val="00D76E69"/>
    <w:rsid w:val="00D76ED3"/>
    <w:rsid w:val="00D76F9B"/>
    <w:rsid w:val="00D77199"/>
    <w:rsid w:val="00D77264"/>
    <w:rsid w:val="00D779BC"/>
    <w:rsid w:val="00D77EBB"/>
    <w:rsid w:val="00D804B1"/>
    <w:rsid w:val="00D805FA"/>
    <w:rsid w:val="00D80628"/>
    <w:rsid w:val="00D80C66"/>
    <w:rsid w:val="00D81072"/>
    <w:rsid w:val="00D81094"/>
    <w:rsid w:val="00D81961"/>
    <w:rsid w:val="00D8202F"/>
    <w:rsid w:val="00D8225C"/>
    <w:rsid w:val="00D825EE"/>
    <w:rsid w:val="00D82B8B"/>
    <w:rsid w:val="00D82CD5"/>
    <w:rsid w:val="00D82E47"/>
    <w:rsid w:val="00D83C43"/>
    <w:rsid w:val="00D84174"/>
    <w:rsid w:val="00D8437E"/>
    <w:rsid w:val="00D8479F"/>
    <w:rsid w:val="00D84C4B"/>
    <w:rsid w:val="00D84E8C"/>
    <w:rsid w:val="00D8504E"/>
    <w:rsid w:val="00D850D2"/>
    <w:rsid w:val="00D852CB"/>
    <w:rsid w:val="00D856A7"/>
    <w:rsid w:val="00D85D73"/>
    <w:rsid w:val="00D85F7F"/>
    <w:rsid w:val="00D85FD9"/>
    <w:rsid w:val="00D86CAA"/>
    <w:rsid w:val="00D86EF0"/>
    <w:rsid w:val="00D872E9"/>
    <w:rsid w:val="00D90253"/>
    <w:rsid w:val="00D90DF5"/>
    <w:rsid w:val="00D90E71"/>
    <w:rsid w:val="00D912BA"/>
    <w:rsid w:val="00D913D9"/>
    <w:rsid w:val="00D915D6"/>
    <w:rsid w:val="00D9196D"/>
    <w:rsid w:val="00D9254C"/>
    <w:rsid w:val="00D92D79"/>
    <w:rsid w:val="00D930B5"/>
    <w:rsid w:val="00D93C27"/>
    <w:rsid w:val="00D93D3F"/>
    <w:rsid w:val="00D941D2"/>
    <w:rsid w:val="00D94C8B"/>
    <w:rsid w:val="00D94DD0"/>
    <w:rsid w:val="00D95325"/>
    <w:rsid w:val="00D9541E"/>
    <w:rsid w:val="00D95627"/>
    <w:rsid w:val="00D9626C"/>
    <w:rsid w:val="00D962F3"/>
    <w:rsid w:val="00D96FEF"/>
    <w:rsid w:val="00D973DA"/>
    <w:rsid w:val="00D97617"/>
    <w:rsid w:val="00DA0AB9"/>
    <w:rsid w:val="00DA12D3"/>
    <w:rsid w:val="00DA1761"/>
    <w:rsid w:val="00DA1BD2"/>
    <w:rsid w:val="00DA2482"/>
    <w:rsid w:val="00DA2BFE"/>
    <w:rsid w:val="00DA31F4"/>
    <w:rsid w:val="00DA366D"/>
    <w:rsid w:val="00DA3694"/>
    <w:rsid w:val="00DA3F4D"/>
    <w:rsid w:val="00DA3F5C"/>
    <w:rsid w:val="00DA466D"/>
    <w:rsid w:val="00DA4DEA"/>
    <w:rsid w:val="00DA670C"/>
    <w:rsid w:val="00DA67C9"/>
    <w:rsid w:val="00DA694F"/>
    <w:rsid w:val="00DA6CF8"/>
    <w:rsid w:val="00DA73BA"/>
    <w:rsid w:val="00DA75FC"/>
    <w:rsid w:val="00DA7A6A"/>
    <w:rsid w:val="00DA7BF6"/>
    <w:rsid w:val="00DA7C55"/>
    <w:rsid w:val="00DA7D32"/>
    <w:rsid w:val="00DA7DC8"/>
    <w:rsid w:val="00DB0514"/>
    <w:rsid w:val="00DB0C4A"/>
    <w:rsid w:val="00DB1006"/>
    <w:rsid w:val="00DB16EC"/>
    <w:rsid w:val="00DB1DBD"/>
    <w:rsid w:val="00DB1E20"/>
    <w:rsid w:val="00DB27D3"/>
    <w:rsid w:val="00DB2800"/>
    <w:rsid w:val="00DB2A6C"/>
    <w:rsid w:val="00DB2BA7"/>
    <w:rsid w:val="00DB2C4F"/>
    <w:rsid w:val="00DB2D0A"/>
    <w:rsid w:val="00DB2F5A"/>
    <w:rsid w:val="00DB369C"/>
    <w:rsid w:val="00DB3729"/>
    <w:rsid w:val="00DB3761"/>
    <w:rsid w:val="00DB37DF"/>
    <w:rsid w:val="00DB3FE3"/>
    <w:rsid w:val="00DB4256"/>
    <w:rsid w:val="00DB4BF9"/>
    <w:rsid w:val="00DB4F7F"/>
    <w:rsid w:val="00DB5193"/>
    <w:rsid w:val="00DB5689"/>
    <w:rsid w:val="00DB6441"/>
    <w:rsid w:val="00DB65FB"/>
    <w:rsid w:val="00DB679D"/>
    <w:rsid w:val="00DB695A"/>
    <w:rsid w:val="00DB6BDA"/>
    <w:rsid w:val="00DB6F4D"/>
    <w:rsid w:val="00DB7202"/>
    <w:rsid w:val="00DC042B"/>
    <w:rsid w:val="00DC0FA2"/>
    <w:rsid w:val="00DC1215"/>
    <w:rsid w:val="00DC1B57"/>
    <w:rsid w:val="00DC1F79"/>
    <w:rsid w:val="00DC2991"/>
    <w:rsid w:val="00DC324A"/>
    <w:rsid w:val="00DC4311"/>
    <w:rsid w:val="00DC48A7"/>
    <w:rsid w:val="00DC54BB"/>
    <w:rsid w:val="00DC56CC"/>
    <w:rsid w:val="00DC5790"/>
    <w:rsid w:val="00DC5EEF"/>
    <w:rsid w:val="00DC60D4"/>
    <w:rsid w:val="00DC60FD"/>
    <w:rsid w:val="00DC6338"/>
    <w:rsid w:val="00DC64C5"/>
    <w:rsid w:val="00DC69D1"/>
    <w:rsid w:val="00DC6B3C"/>
    <w:rsid w:val="00DC752A"/>
    <w:rsid w:val="00DC78C9"/>
    <w:rsid w:val="00DC78E1"/>
    <w:rsid w:val="00DC790D"/>
    <w:rsid w:val="00DD1C7E"/>
    <w:rsid w:val="00DD219E"/>
    <w:rsid w:val="00DD26B0"/>
    <w:rsid w:val="00DD277C"/>
    <w:rsid w:val="00DD2810"/>
    <w:rsid w:val="00DD32F8"/>
    <w:rsid w:val="00DD33E7"/>
    <w:rsid w:val="00DD3A95"/>
    <w:rsid w:val="00DD439F"/>
    <w:rsid w:val="00DD6016"/>
    <w:rsid w:val="00DD62D3"/>
    <w:rsid w:val="00DD64FE"/>
    <w:rsid w:val="00DD6707"/>
    <w:rsid w:val="00DD6B7D"/>
    <w:rsid w:val="00DD6DD9"/>
    <w:rsid w:val="00DD700A"/>
    <w:rsid w:val="00DD7011"/>
    <w:rsid w:val="00DD75FA"/>
    <w:rsid w:val="00DD7915"/>
    <w:rsid w:val="00DE0FDA"/>
    <w:rsid w:val="00DE141E"/>
    <w:rsid w:val="00DE1855"/>
    <w:rsid w:val="00DE1B5D"/>
    <w:rsid w:val="00DE1BBE"/>
    <w:rsid w:val="00DE20B6"/>
    <w:rsid w:val="00DE20C0"/>
    <w:rsid w:val="00DE35BC"/>
    <w:rsid w:val="00DE3607"/>
    <w:rsid w:val="00DE373D"/>
    <w:rsid w:val="00DE37E0"/>
    <w:rsid w:val="00DE3CA0"/>
    <w:rsid w:val="00DE3D6E"/>
    <w:rsid w:val="00DE4026"/>
    <w:rsid w:val="00DE419F"/>
    <w:rsid w:val="00DE4642"/>
    <w:rsid w:val="00DE4751"/>
    <w:rsid w:val="00DE47BA"/>
    <w:rsid w:val="00DE47D6"/>
    <w:rsid w:val="00DE5E0A"/>
    <w:rsid w:val="00DE5E88"/>
    <w:rsid w:val="00DE6139"/>
    <w:rsid w:val="00DE6915"/>
    <w:rsid w:val="00DE6EC8"/>
    <w:rsid w:val="00DE7C3A"/>
    <w:rsid w:val="00DE7CA8"/>
    <w:rsid w:val="00DF016C"/>
    <w:rsid w:val="00DF0658"/>
    <w:rsid w:val="00DF0D8D"/>
    <w:rsid w:val="00DF14FB"/>
    <w:rsid w:val="00DF1F31"/>
    <w:rsid w:val="00DF2094"/>
    <w:rsid w:val="00DF2182"/>
    <w:rsid w:val="00DF27F3"/>
    <w:rsid w:val="00DF28D3"/>
    <w:rsid w:val="00DF2FC1"/>
    <w:rsid w:val="00DF30AC"/>
    <w:rsid w:val="00DF30BD"/>
    <w:rsid w:val="00DF4536"/>
    <w:rsid w:val="00DF4CF1"/>
    <w:rsid w:val="00DF5938"/>
    <w:rsid w:val="00DF5A27"/>
    <w:rsid w:val="00DF5DA6"/>
    <w:rsid w:val="00DF60B3"/>
    <w:rsid w:val="00DF6A75"/>
    <w:rsid w:val="00DF736C"/>
    <w:rsid w:val="00DF74CD"/>
    <w:rsid w:val="00DF7677"/>
    <w:rsid w:val="00DF7B66"/>
    <w:rsid w:val="00DF7C77"/>
    <w:rsid w:val="00DF7C94"/>
    <w:rsid w:val="00E00051"/>
    <w:rsid w:val="00E00A55"/>
    <w:rsid w:val="00E00B6C"/>
    <w:rsid w:val="00E00BFD"/>
    <w:rsid w:val="00E010A4"/>
    <w:rsid w:val="00E014BC"/>
    <w:rsid w:val="00E015C5"/>
    <w:rsid w:val="00E0160B"/>
    <w:rsid w:val="00E01A5C"/>
    <w:rsid w:val="00E02177"/>
    <w:rsid w:val="00E026C0"/>
    <w:rsid w:val="00E02881"/>
    <w:rsid w:val="00E02AC0"/>
    <w:rsid w:val="00E02E69"/>
    <w:rsid w:val="00E032FF"/>
    <w:rsid w:val="00E03626"/>
    <w:rsid w:val="00E0364B"/>
    <w:rsid w:val="00E0372F"/>
    <w:rsid w:val="00E0373F"/>
    <w:rsid w:val="00E0378A"/>
    <w:rsid w:val="00E038BA"/>
    <w:rsid w:val="00E0397E"/>
    <w:rsid w:val="00E03A59"/>
    <w:rsid w:val="00E040E4"/>
    <w:rsid w:val="00E04183"/>
    <w:rsid w:val="00E041BC"/>
    <w:rsid w:val="00E04954"/>
    <w:rsid w:val="00E04A11"/>
    <w:rsid w:val="00E04C61"/>
    <w:rsid w:val="00E055DA"/>
    <w:rsid w:val="00E05DF7"/>
    <w:rsid w:val="00E060D8"/>
    <w:rsid w:val="00E0668F"/>
    <w:rsid w:val="00E06C61"/>
    <w:rsid w:val="00E06D39"/>
    <w:rsid w:val="00E06F6B"/>
    <w:rsid w:val="00E07098"/>
    <w:rsid w:val="00E072AB"/>
    <w:rsid w:val="00E07493"/>
    <w:rsid w:val="00E07985"/>
    <w:rsid w:val="00E1011B"/>
    <w:rsid w:val="00E10153"/>
    <w:rsid w:val="00E10253"/>
    <w:rsid w:val="00E106B7"/>
    <w:rsid w:val="00E10ED8"/>
    <w:rsid w:val="00E11A5E"/>
    <w:rsid w:val="00E11FEE"/>
    <w:rsid w:val="00E1206E"/>
    <w:rsid w:val="00E122D0"/>
    <w:rsid w:val="00E124BC"/>
    <w:rsid w:val="00E124CC"/>
    <w:rsid w:val="00E12628"/>
    <w:rsid w:val="00E12744"/>
    <w:rsid w:val="00E1338C"/>
    <w:rsid w:val="00E13930"/>
    <w:rsid w:val="00E145EB"/>
    <w:rsid w:val="00E14699"/>
    <w:rsid w:val="00E14E47"/>
    <w:rsid w:val="00E153E9"/>
    <w:rsid w:val="00E1557B"/>
    <w:rsid w:val="00E15822"/>
    <w:rsid w:val="00E15956"/>
    <w:rsid w:val="00E16123"/>
    <w:rsid w:val="00E1642C"/>
    <w:rsid w:val="00E165D4"/>
    <w:rsid w:val="00E16699"/>
    <w:rsid w:val="00E17050"/>
    <w:rsid w:val="00E173B4"/>
    <w:rsid w:val="00E1795D"/>
    <w:rsid w:val="00E1797A"/>
    <w:rsid w:val="00E179DA"/>
    <w:rsid w:val="00E17B08"/>
    <w:rsid w:val="00E20B7C"/>
    <w:rsid w:val="00E210CB"/>
    <w:rsid w:val="00E215CE"/>
    <w:rsid w:val="00E21F9A"/>
    <w:rsid w:val="00E22298"/>
    <w:rsid w:val="00E22299"/>
    <w:rsid w:val="00E22455"/>
    <w:rsid w:val="00E2291D"/>
    <w:rsid w:val="00E22A64"/>
    <w:rsid w:val="00E22D3A"/>
    <w:rsid w:val="00E23029"/>
    <w:rsid w:val="00E23138"/>
    <w:rsid w:val="00E23445"/>
    <w:rsid w:val="00E23523"/>
    <w:rsid w:val="00E2370B"/>
    <w:rsid w:val="00E23E4E"/>
    <w:rsid w:val="00E2400C"/>
    <w:rsid w:val="00E24A9F"/>
    <w:rsid w:val="00E24FC9"/>
    <w:rsid w:val="00E24FE2"/>
    <w:rsid w:val="00E26690"/>
    <w:rsid w:val="00E26DB8"/>
    <w:rsid w:val="00E2784C"/>
    <w:rsid w:val="00E307AE"/>
    <w:rsid w:val="00E307CD"/>
    <w:rsid w:val="00E30981"/>
    <w:rsid w:val="00E30DEE"/>
    <w:rsid w:val="00E30F79"/>
    <w:rsid w:val="00E30F87"/>
    <w:rsid w:val="00E30F8F"/>
    <w:rsid w:val="00E31124"/>
    <w:rsid w:val="00E328C5"/>
    <w:rsid w:val="00E32E05"/>
    <w:rsid w:val="00E332A0"/>
    <w:rsid w:val="00E33CBD"/>
    <w:rsid w:val="00E34004"/>
    <w:rsid w:val="00E34441"/>
    <w:rsid w:val="00E34980"/>
    <w:rsid w:val="00E34FAC"/>
    <w:rsid w:val="00E35229"/>
    <w:rsid w:val="00E35B77"/>
    <w:rsid w:val="00E35E20"/>
    <w:rsid w:val="00E367FA"/>
    <w:rsid w:val="00E36A1D"/>
    <w:rsid w:val="00E37617"/>
    <w:rsid w:val="00E376FE"/>
    <w:rsid w:val="00E37FB9"/>
    <w:rsid w:val="00E40363"/>
    <w:rsid w:val="00E408F7"/>
    <w:rsid w:val="00E40D3E"/>
    <w:rsid w:val="00E41B05"/>
    <w:rsid w:val="00E4200E"/>
    <w:rsid w:val="00E435E2"/>
    <w:rsid w:val="00E4464B"/>
    <w:rsid w:val="00E44AAF"/>
    <w:rsid w:val="00E45A58"/>
    <w:rsid w:val="00E45BE6"/>
    <w:rsid w:val="00E45C78"/>
    <w:rsid w:val="00E46288"/>
    <w:rsid w:val="00E464F4"/>
    <w:rsid w:val="00E46B60"/>
    <w:rsid w:val="00E46FCA"/>
    <w:rsid w:val="00E471C7"/>
    <w:rsid w:val="00E476A5"/>
    <w:rsid w:val="00E47A40"/>
    <w:rsid w:val="00E503C4"/>
    <w:rsid w:val="00E50A92"/>
    <w:rsid w:val="00E50D74"/>
    <w:rsid w:val="00E50F55"/>
    <w:rsid w:val="00E50F7B"/>
    <w:rsid w:val="00E51171"/>
    <w:rsid w:val="00E5138A"/>
    <w:rsid w:val="00E51532"/>
    <w:rsid w:val="00E51631"/>
    <w:rsid w:val="00E51B11"/>
    <w:rsid w:val="00E51F68"/>
    <w:rsid w:val="00E52003"/>
    <w:rsid w:val="00E52027"/>
    <w:rsid w:val="00E5251E"/>
    <w:rsid w:val="00E526CC"/>
    <w:rsid w:val="00E526E4"/>
    <w:rsid w:val="00E52E3E"/>
    <w:rsid w:val="00E53137"/>
    <w:rsid w:val="00E53416"/>
    <w:rsid w:val="00E53B54"/>
    <w:rsid w:val="00E53F1A"/>
    <w:rsid w:val="00E5409E"/>
    <w:rsid w:val="00E5494B"/>
    <w:rsid w:val="00E54A4D"/>
    <w:rsid w:val="00E54D5D"/>
    <w:rsid w:val="00E557B7"/>
    <w:rsid w:val="00E55EAF"/>
    <w:rsid w:val="00E562FB"/>
    <w:rsid w:val="00E56457"/>
    <w:rsid w:val="00E567B8"/>
    <w:rsid w:val="00E56825"/>
    <w:rsid w:val="00E56CC2"/>
    <w:rsid w:val="00E56FC0"/>
    <w:rsid w:val="00E570FB"/>
    <w:rsid w:val="00E57FAC"/>
    <w:rsid w:val="00E6052F"/>
    <w:rsid w:val="00E608CC"/>
    <w:rsid w:val="00E609B9"/>
    <w:rsid w:val="00E60F63"/>
    <w:rsid w:val="00E6127A"/>
    <w:rsid w:val="00E614F3"/>
    <w:rsid w:val="00E6163E"/>
    <w:rsid w:val="00E616A3"/>
    <w:rsid w:val="00E61DC8"/>
    <w:rsid w:val="00E6262B"/>
    <w:rsid w:val="00E635D3"/>
    <w:rsid w:val="00E639BC"/>
    <w:rsid w:val="00E64351"/>
    <w:rsid w:val="00E64A42"/>
    <w:rsid w:val="00E64C8C"/>
    <w:rsid w:val="00E64D2A"/>
    <w:rsid w:val="00E656E0"/>
    <w:rsid w:val="00E65991"/>
    <w:rsid w:val="00E663B3"/>
    <w:rsid w:val="00E66FF1"/>
    <w:rsid w:val="00E67E24"/>
    <w:rsid w:val="00E67E5C"/>
    <w:rsid w:val="00E70046"/>
    <w:rsid w:val="00E704DB"/>
    <w:rsid w:val="00E705C5"/>
    <w:rsid w:val="00E70D58"/>
    <w:rsid w:val="00E70E27"/>
    <w:rsid w:val="00E70ED0"/>
    <w:rsid w:val="00E7166B"/>
    <w:rsid w:val="00E719E5"/>
    <w:rsid w:val="00E71A21"/>
    <w:rsid w:val="00E71CED"/>
    <w:rsid w:val="00E72BF3"/>
    <w:rsid w:val="00E72CD7"/>
    <w:rsid w:val="00E73E05"/>
    <w:rsid w:val="00E7449A"/>
    <w:rsid w:val="00E7454C"/>
    <w:rsid w:val="00E746BF"/>
    <w:rsid w:val="00E7495B"/>
    <w:rsid w:val="00E74963"/>
    <w:rsid w:val="00E74A42"/>
    <w:rsid w:val="00E75DDC"/>
    <w:rsid w:val="00E7619D"/>
    <w:rsid w:val="00E761E7"/>
    <w:rsid w:val="00E768C5"/>
    <w:rsid w:val="00E76A43"/>
    <w:rsid w:val="00E76E1F"/>
    <w:rsid w:val="00E77077"/>
    <w:rsid w:val="00E7779E"/>
    <w:rsid w:val="00E777F0"/>
    <w:rsid w:val="00E77A5D"/>
    <w:rsid w:val="00E800C4"/>
    <w:rsid w:val="00E800EB"/>
    <w:rsid w:val="00E80277"/>
    <w:rsid w:val="00E822AB"/>
    <w:rsid w:val="00E82539"/>
    <w:rsid w:val="00E82DFA"/>
    <w:rsid w:val="00E832C7"/>
    <w:rsid w:val="00E8375E"/>
    <w:rsid w:val="00E83927"/>
    <w:rsid w:val="00E83FAB"/>
    <w:rsid w:val="00E840C7"/>
    <w:rsid w:val="00E840DC"/>
    <w:rsid w:val="00E84919"/>
    <w:rsid w:val="00E84F7A"/>
    <w:rsid w:val="00E85579"/>
    <w:rsid w:val="00E856AD"/>
    <w:rsid w:val="00E859BE"/>
    <w:rsid w:val="00E85BD4"/>
    <w:rsid w:val="00E861C9"/>
    <w:rsid w:val="00E86326"/>
    <w:rsid w:val="00E869BD"/>
    <w:rsid w:val="00E87432"/>
    <w:rsid w:val="00E87538"/>
    <w:rsid w:val="00E8754D"/>
    <w:rsid w:val="00E8773A"/>
    <w:rsid w:val="00E900C1"/>
    <w:rsid w:val="00E905D8"/>
    <w:rsid w:val="00E906D9"/>
    <w:rsid w:val="00E90BC3"/>
    <w:rsid w:val="00E90CB2"/>
    <w:rsid w:val="00E912B8"/>
    <w:rsid w:val="00E91320"/>
    <w:rsid w:val="00E91880"/>
    <w:rsid w:val="00E919CF"/>
    <w:rsid w:val="00E9207E"/>
    <w:rsid w:val="00E927BE"/>
    <w:rsid w:val="00E92838"/>
    <w:rsid w:val="00E92A81"/>
    <w:rsid w:val="00E92C6A"/>
    <w:rsid w:val="00E936EB"/>
    <w:rsid w:val="00E9476D"/>
    <w:rsid w:val="00E94B68"/>
    <w:rsid w:val="00E94BC7"/>
    <w:rsid w:val="00E94D94"/>
    <w:rsid w:val="00E94E4E"/>
    <w:rsid w:val="00E958D1"/>
    <w:rsid w:val="00E96178"/>
    <w:rsid w:val="00E9736A"/>
    <w:rsid w:val="00E97723"/>
    <w:rsid w:val="00E97E36"/>
    <w:rsid w:val="00EA06C9"/>
    <w:rsid w:val="00EA0C9A"/>
    <w:rsid w:val="00EA0E83"/>
    <w:rsid w:val="00EA1773"/>
    <w:rsid w:val="00EA1BB2"/>
    <w:rsid w:val="00EA1E94"/>
    <w:rsid w:val="00EA2595"/>
    <w:rsid w:val="00EA259E"/>
    <w:rsid w:val="00EA293E"/>
    <w:rsid w:val="00EA2982"/>
    <w:rsid w:val="00EA2EDC"/>
    <w:rsid w:val="00EA315F"/>
    <w:rsid w:val="00EA31E7"/>
    <w:rsid w:val="00EA3431"/>
    <w:rsid w:val="00EA3824"/>
    <w:rsid w:val="00EA3A76"/>
    <w:rsid w:val="00EA3B23"/>
    <w:rsid w:val="00EA3D04"/>
    <w:rsid w:val="00EA3D16"/>
    <w:rsid w:val="00EA418C"/>
    <w:rsid w:val="00EA4628"/>
    <w:rsid w:val="00EA51B7"/>
    <w:rsid w:val="00EA6053"/>
    <w:rsid w:val="00EA6604"/>
    <w:rsid w:val="00EA67ED"/>
    <w:rsid w:val="00EA6A05"/>
    <w:rsid w:val="00EA6E52"/>
    <w:rsid w:val="00EA752D"/>
    <w:rsid w:val="00EA7830"/>
    <w:rsid w:val="00EB112B"/>
    <w:rsid w:val="00EB12E8"/>
    <w:rsid w:val="00EB15B5"/>
    <w:rsid w:val="00EB1641"/>
    <w:rsid w:val="00EB2262"/>
    <w:rsid w:val="00EB2487"/>
    <w:rsid w:val="00EB27EC"/>
    <w:rsid w:val="00EB2BCE"/>
    <w:rsid w:val="00EB2E15"/>
    <w:rsid w:val="00EB2FE6"/>
    <w:rsid w:val="00EB3963"/>
    <w:rsid w:val="00EB400F"/>
    <w:rsid w:val="00EB4010"/>
    <w:rsid w:val="00EB41B9"/>
    <w:rsid w:val="00EB45D2"/>
    <w:rsid w:val="00EB504C"/>
    <w:rsid w:val="00EB596E"/>
    <w:rsid w:val="00EB5989"/>
    <w:rsid w:val="00EB5EEA"/>
    <w:rsid w:val="00EB6462"/>
    <w:rsid w:val="00EB6AC2"/>
    <w:rsid w:val="00EB6B57"/>
    <w:rsid w:val="00EB6B92"/>
    <w:rsid w:val="00EB7124"/>
    <w:rsid w:val="00EB74AD"/>
    <w:rsid w:val="00EB789E"/>
    <w:rsid w:val="00EB7BC7"/>
    <w:rsid w:val="00EC02E6"/>
    <w:rsid w:val="00EC1D76"/>
    <w:rsid w:val="00EC206B"/>
    <w:rsid w:val="00EC21DD"/>
    <w:rsid w:val="00EC2493"/>
    <w:rsid w:val="00EC2614"/>
    <w:rsid w:val="00EC2689"/>
    <w:rsid w:val="00EC28ED"/>
    <w:rsid w:val="00EC305C"/>
    <w:rsid w:val="00EC36C7"/>
    <w:rsid w:val="00EC3CB0"/>
    <w:rsid w:val="00EC3DEF"/>
    <w:rsid w:val="00EC4475"/>
    <w:rsid w:val="00EC4D49"/>
    <w:rsid w:val="00EC4DA4"/>
    <w:rsid w:val="00EC4E63"/>
    <w:rsid w:val="00EC4E90"/>
    <w:rsid w:val="00EC5206"/>
    <w:rsid w:val="00EC572A"/>
    <w:rsid w:val="00EC5773"/>
    <w:rsid w:val="00EC5C4C"/>
    <w:rsid w:val="00EC607A"/>
    <w:rsid w:val="00EC789A"/>
    <w:rsid w:val="00EC78DC"/>
    <w:rsid w:val="00EC7ECE"/>
    <w:rsid w:val="00EC7F12"/>
    <w:rsid w:val="00ED04A2"/>
    <w:rsid w:val="00ED04BD"/>
    <w:rsid w:val="00ED0AC8"/>
    <w:rsid w:val="00ED0B63"/>
    <w:rsid w:val="00ED1EFB"/>
    <w:rsid w:val="00ED2339"/>
    <w:rsid w:val="00ED2BC5"/>
    <w:rsid w:val="00ED2BCD"/>
    <w:rsid w:val="00ED380E"/>
    <w:rsid w:val="00ED5224"/>
    <w:rsid w:val="00ED5525"/>
    <w:rsid w:val="00ED5A31"/>
    <w:rsid w:val="00ED5AD0"/>
    <w:rsid w:val="00ED5D58"/>
    <w:rsid w:val="00ED5F1E"/>
    <w:rsid w:val="00ED5FF7"/>
    <w:rsid w:val="00ED6147"/>
    <w:rsid w:val="00ED6ED8"/>
    <w:rsid w:val="00ED714F"/>
    <w:rsid w:val="00ED7409"/>
    <w:rsid w:val="00ED75F4"/>
    <w:rsid w:val="00ED797F"/>
    <w:rsid w:val="00ED7B36"/>
    <w:rsid w:val="00ED7CE0"/>
    <w:rsid w:val="00EE03FD"/>
    <w:rsid w:val="00EE0886"/>
    <w:rsid w:val="00EE0AA8"/>
    <w:rsid w:val="00EE0E77"/>
    <w:rsid w:val="00EE1167"/>
    <w:rsid w:val="00EE1382"/>
    <w:rsid w:val="00EE1607"/>
    <w:rsid w:val="00EE19B2"/>
    <w:rsid w:val="00EE1A22"/>
    <w:rsid w:val="00EE1E2D"/>
    <w:rsid w:val="00EE1E30"/>
    <w:rsid w:val="00EE20C8"/>
    <w:rsid w:val="00EE22C6"/>
    <w:rsid w:val="00EE297D"/>
    <w:rsid w:val="00EE30ED"/>
    <w:rsid w:val="00EE3387"/>
    <w:rsid w:val="00EE375B"/>
    <w:rsid w:val="00EE4118"/>
    <w:rsid w:val="00EE4309"/>
    <w:rsid w:val="00EE4754"/>
    <w:rsid w:val="00EE4EC9"/>
    <w:rsid w:val="00EE5707"/>
    <w:rsid w:val="00EE5FFA"/>
    <w:rsid w:val="00EE6AD2"/>
    <w:rsid w:val="00EE7053"/>
    <w:rsid w:val="00EE747A"/>
    <w:rsid w:val="00EE77E7"/>
    <w:rsid w:val="00EF0206"/>
    <w:rsid w:val="00EF02CE"/>
    <w:rsid w:val="00EF039C"/>
    <w:rsid w:val="00EF148E"/>
    <w:rsid w:val="00EF1519"/>
    <w:rsid w:val="00EF15B5"/>
    <w:rsid w:val="00EF237E"/>
    <w:rsid w:val="00EF2B0C"/>
    <w:rsid w:val="00EF2E1A"/>
    <w:rsid w:val="00EF2F85"/>
    <w:rsid w:val="00EF3165"/>
    <w:rsid w:val="00EF343E"/>
    <w:rsid w:val="00EF3574"/>
    <w:rsid w:val="00EF3F9D"/>
    <w:rsid w:val="00EF40A8"/>
    <w:rsid w:val="00EF45E6"/>
    <w:rsid w:val="00EF4B2E"/>
    <w:rsid w:val="00EF4B91"/>
    <w:rsid w:val="00EF4C19"/>
    <w:rsid w:val="00EF56C5"/>
    <w:rsid w:val="00EF5A81"/>
    <w:rsid w:val="00EF5F7C"/>
    <w:rsid w:val="00EF6193"/>
    <w:rsid w:val="00EF636F"/>
    <w:rsid w:val="00EF6906"/>
    <w:rsid w:val="00EF6A9F"/>
    <w:rsid w:val="00EF761A"/>
    <w:rsid w:val="00EF7924"/>
    <w:rsid w:val="00F0039A"/>
    <w:rsid w:val="00F006AC"/>
    <w:rsid w:val="00F0091B"/>
    <w:rsid w:val="00F00BE9"/>
    <w:rsid w:val="00F00EB5"/>
    <w:rsid w:val="00F00FBF"/>
    <w:rsid w:val="00F014DA"/>
    <w:rsid w:val="00F01B95"/>
    <w:rsid w:val="00F01BBA"/>
    <w:rsid w:val="00F020DF"/>
    <w:rsid w:val="00F02379"/>
    <w:rsid w:val="00F02BC4"/>
    <w:rsid w:val="00F02DBF"/>
    <w:rsid w:val="00F0360D"/>
    <w:rsid w:val="00F039A6"/>
    <w:rsid w:val="00F03C00"/>
    <w:rsid w:val="00F03E56"/>
    <w:rsid w:val="00F04069"/>
    <w:rsid w:val="00F044CF"/>
    <w:rsid w:val="00F046E8"/>
    <w:rsid w:val="00F0484E"/>
    <w:rsid w:val="00F051C7"/>
    <w:rsid w:val="00F056AD"/>
    <w:rsid w:val="00F056B6"/>
    <w:rsid w:val="00F05942"/>
    <w:rsid w:val="00F05D64"/>
    <w:rsid w:val="00F05E6A"/>
    <w:rsid w:val="00F0601C"/>
    <w:rsid w:val="00F0602E"/>
    <w:rsid w:val="00F0646B"/>
    <w:rsid w:val="00F07278"/>
    <w:rsid w:val="00F072B5"/>
    <w:rsid w:val="00F072CD"/>
    <w:rsid w:val="00F076BD"/>
    <w:rsid w:val="00F1087C"/>
    <w:rsid w:val="00F10EDC"/>
    <w:rsid w:val="00F10F55"/>
    <w:rsid w:val="00F10F6B"/>
    <w:rsid w:val="00F11185"/>
    <w:rsid w:val="00F11727"/>
    <w:rsid w:val="00F11B80"/>
    <w:rsid w:val="00F11FE9"/>
    <w:rsid w:val="00F123A5"/>
    <w:rsid w:val="00F125DA"/>
    <w:rsid w:val="00F1277D"/>
    <w:rsid w:val="00F12AEF"/>
    <w:rsid w:val="00F12C6F"/>
    <w:rsid w:val="00F12CDF"/>
    <w:rsid w:val="00F13396"/>
    <w:rsid w:val="00F13F30"/>
    <w:rsid w:val="00F14177"/>
    <w:rsid w:val="00F14503"/>
    <w:rsid w:val="00F14652"/>
    <w:rsid w:val="00F146B0"/>
    <w:rsid w:val="00F14CDC"/>
    <w:rsid w:val="00F14D1E"/>
    <w:rsid w:val="00F14FB5"/>
    <w:rsid w:val="00F151F1"/>
    <w:rsid w:val="00F158DF"/>
    <w:rsid w:val="00F15F89"/>
    <w:rsid w:val="00F166A1"/>
    <w:rsid w:val="00F168BD"/>
    <w:rsid w:val="00F16ABB"/>
    <w:rsid w:val="00F16E91"/>
    <w:rsid w:val="00F16FBE"/>
    <w:rsid w:val="00F17147"/>
    <w:rsid w:val="00F172A4"/>
    <w:rsid w:val="00F177EC"/>
    <w:rsid w:val="00F17B54"/>
    <w:rsid w:val="00F17F8E"/>
    <w:rsid w:val="00F200BF"/>
    <w:rsid w:val="00F20494"/>
    <w:rsid w:val="00F20908"/>
    <w:rsid w:val="00F20BD6"/>
    <w:rsid w:val="00F210A4"/>
    <w:rsid w:val="00F216EC"/>
    <w:rsid w:val="00F21B3A"/>
    <w:rsid w:val="00F21B9D"/>
    <w:rsid w:val="00F22755"/>
    <w:rsid w:val="00F22C9A"/>
    <w:rsid w:val="00F22E29"/>
    <w:rsid w:val="00F2322E"/>
    <w:rsid w:val="00F23794"/>
    <w:rsid w:val="00F23AB8"/>
    <w:rsid w:val="00F23B3B"/>
    <w:rsid w:val="00F24083"/>
    <w:rsid w:val="00F243DB"/>
    <w:rsid w:val="00F24785"/>
    <w:rsid w:val="00F24908"/>
    <w:rsid w:val="00F24AAF"/>
    <w:rsid w:val="00F24B2C"/>
    <w:rsid w:val="00F250C2"/>
    <w:rsid w:val="00F25982"/>
    <w:rsid w:val="00F25B19"/>
    <w:rsid w:val="00F25D42"/>
    <w:rsid w:val="00F265E3"/>
    <w:rsid w:val="00F26F0E"/>
    <w:rsid w:val="00F2723D"/>
    <w:rsid w:val="00F27613"/>
    <w:rsid w:val="00F27661"/>
    <w:rsid w:val="00F27B0F"/>
    <w:rsid w:val="00F30325"/>
    <w:rsid w:val="00F31281"/>
    <w:rsid w:val="00F312BE"/>
    <w:rsid w:val="00F31B9B"/>
    <w:rsid w:val="00F31BF0"/>
    <w:rsid w:val="00F33288"/>
    <w:rsid w:val="00F34A8A"/>
    <w:rsid w:val="00F35A27"/>
    <w:rsid w:val="00F36845"/>
    <w:rsid w:val="00F37340"/>
    <w:rsid w:val="00F37424"/>
    <w:rsid w:val="00F37425"/>
    <w:rsid w:val="00F3750B"/>
    <w:rsid w:val="00F378B9"/>
    <w:rsid w:val="00F37BEA"/>
    <w:rsid w:val="00F40566"/>
    <w:rsid w:val="00F4067D"/>
    <w:rsid w:val="00F40B60"/>
    <w:rsid w:val="00F4106D"/>
    <w:rsid w:val="00F415C0"/>
    <w:rsid w:val="00F418C7"/>
    <w:rsid w:val="00F421A0"/>
    <w:rsid w:val="00F42D4A"/>
    <w:rsid w:val="00F42F0C"/>
    <w:rsid w:val="00F42F21"/>
    <w:rsid w:val="00F43634"/>
    <w:rsid w:val="00F43E16"/>
    <w:rsid w:val="00F43EC1"/>
    <w:rsid w:val="00F44313"/>
    <w:rsid w:val="00F45D94"/>
    <w:rsid w:val="00F45EF7"/>
    <w:rsid w:val="00F466C1"/>
    <w:rsid w:val="00F467F3"/>
    <w:rsid w:val="00F46A52"/>
    <w:rsid w:val="00F46A89"/>
    <w:rsid w:val="00F46AC3"/>
    <w:rsid w:val="00F46BBD"/>
    <w:rsid w:val="00F46C4D"/>
    <w:rsid w:val="00F47EAE"/>
    <w:rsid w:val="00F5008E"/>
    <w:rsid w:val="00F51084"/>
    <w:rsid w:val="00F5141B"/>
    <w:rsid w:val="00F5202F"/>
    <w:rsid w:val="00F52172"/>
    <w:rsid w:val="00F53169"/>
    <w:rsid w:val="00F53209"/>
    <w:rsid w:val="00F53CB4"/>
    <w:rsid w:val="00F5411A"/>
    <w:rsid w:val="00F54AF6"/>
    <w:rsid w:val="00F54F66"/>
    <w:rsid w:val="00F552B1"/>
    <w:rsid w:val="00F554DF"/>
    <w:rsid w:val="00F5566C"/>
    <w:rsid w:val="00F55C15"/>
    <w:rsid w:val="00F55EB4"/>
    <w:rsid w:val="00F55F65"/>
    <w:rsid w:val="00F5623A"/>
    <w:rsid w:val="00F5630E"/>
    <w:rsid w:val="00F564BF"/>
    <w:rsid w:val="00F56910"/>
    <w:rsid w:val="00F56965"/>
    <w:rsid w:val="00F569A6"/>
    <w:rsid w:val="00F570DD"/>
    <w:rsid w:val="00F57CA3"/>
    <w:rsid w:val="00F6053E"/>
    <w:rsid w:val="00F609AA"/>
    <w:rsid w:val="00F60B22"/>
    <w:rsid w:val="00F61534"/>
    <w:rsid w:val="00F6171B"/>
    <w:rsid w:val="00F618A4"/>
    <w:rsid w:val="00F618D1"/>
    <w:rsid w:val="00F61A52"/>
    <w:rsid w:val="00F62672"/>
    <w:rsid w:val="00F6275A"/>
    <w:rsid w:val="00F62C9C"/>
    <w:rsid w:val="00F63538"/>
    <w:rsid w:val="00F639E6"/>
    <w:rsid w:val="00F63B55"/>
    <w:rsid w:val="00F63DB8"/>
    <w:rsid w:val="00F64600"/>
    <w:rsid w:val="00F65145"/>
    <w:rsid w:val="00F65424"/>
    <w:rsid w:val="00F658FB"/>
    <w:rsid w:val="00F65FF1"/>
    <w:rsid w:val="00F65FF7"/>
    <w:rsid w:val="00F66A7E"/>
    <w:rsid w:val="00F66D4F"/>
    <w:rsid w:val="00F67188"/>
    <w:rsid w:val="00F67239"/>
    <w:rsid w:val="00F67361"/>
    <w:rsid w:val="00F67F84"/>
    <w:rsid w:val="00F70092"/>
    <w:rsid w:val="00F70234"/>
    <w:rsid w:val="00F703F4"/>
    <w:rsid w:val="00F70745"/>
    <w:rsid w:val="00F7091D"/>
    <w:rsid w:val="00F70DEB"/>
    <w:rsid w:val="00F70F30"/>
    <w:rsid w:val="00F711B1"/>
    <w:rsid w:val="00F71902"/>
    <w:rsid w:val="00F719AB"/>
    <w:rsid w:val="00F722F3"/>
    <w:rsid w:val="00F7277C"/>
    <w:rsid w:val="00F72AB8"/>
    <w:rsid w:val="00F731B0"/>
    <w:rsid w:val="00F73765"/>
    <w:rsid w:val="00F737D6"/>
    <w:rsid w:val="00F7390B"/>
    <w:rsid w:val="00F73E3D"/>
    <w:rsid w:val="00F73FBB"/>
    <w:rsid w:val="00F74A4C"/>
    <w:rsid w:val="00F74C64"/>
    <w:rsid w:val="00F74C9D"/>
    <w:rsid w:val="00F74DEE"/>
    <w:rsid w:val="00F757D5"/>
    <w:rsid w:val="00F7593A"/>
    <w:rsid w:val="00F75DF7"/>
    <w:rsid w:val="00F76634"/>
    <w:rsid w:val="00F76992"/>
    <w:rsid w:val="00F76F7F"/>
    <w:rsid w:val="00F77544"/>
    <w:rsid w:val="00F77D45"/>
    <w:rsid w:val="00F80602"/>
    <w:rsid w:val="00F80674"/>
    <w:rsid w:val="00F811FF"/>
    <w:rsid w:val="00F81374"/>
    <w:rsid w:val="00F816E8"/>
    <w:rsid w:val="00F81CF5"/>
    <w:rsid w:val="00F824B6"/>
    <w:rsid w:val="00F824CA"/>
    <w:rsid w:val="00F826CD"/>
    <w:rsid w:val="00F827BA"/>
    <w:rsid w:val="00F83361"/>
    <w:rsid w:val="00F83708"/>
    <w:rsid w:val="00F83773"/>
    <w:rsid w:val="00F83D13"/>
    <w:rsid w:val="00F840C9"/>
    <w:rsid w:val="00F842BB"/>
    <w:rsid w:val="00F84A8D"/>
    <w:rsid w:val="00F855D0"/>
    <w:rsid w:val="00F855FB"/>
    <w:rsid w:val="00F85656"/>
    <w:rsid w:val="00F858E2"/>
    <w:rsid w:val="00F85966"/>
    <w:rsid w:val="00F85AD9"/>
    <w:rsid w:val="00F85BF2"/>
    <w:rsid w:val="00F8657E"/>
    <w:rsid w:val="00F8661C"/>
    <w:rsid w:val="00F870C6"/>
    <w:rsid w:val="00F8751E"/>
    <w:rsid w:val="00F900B7"/>
    <w:rsid w:val="00F90420"/>
    <w:rsid w:val="00F90462"/>
    <w:rsid w:val="00F9063C"/>
    <w:rsid w:val="00F9080D"/>
    <w:rsid w:val="00F910D7"/>
    <w:rsid w:val="00F91287"/>
    <w:rsid w:val="00F9197D"/>
    <w:rsid w:val="00F928EC"/>
    <w:rsid w:val="00F92F11"/>
    <w:rsid w:val="00F92FD3"/>
    <w:rsid w:val="00F9341A"/>
    <w:rsid w:val="00F93886"/>
    <w:rsid w:val="00F93A72"/>
    <w:rsid w:val="00F93C79"/>
    <w:rsid w:val="00F93EEA"/>
    <w:rsid w:val="00F94EDF"/>
    <w:rsid w:val="00F953EC"/>
    <w:rsid w:val="00F95622"/>
    <w:rsid w:val="00F956A6"/>
    <w:rsid w:val="00F95879"/>
    <w:rsid w:val="00F95E4F"/>
    <w:rsid w:val="00F9629D"/>
    <w:rsid w:val="00F97A8A"/>
    <w:rsid w:val="00F97ADE"/>
    <w:rsid w:val="00F97C06"/>
    <w:rsid w:val="00FA0E5D"/>
    <w:rsid w:val="00FA16A2"/>
    <w:rsid w:val="00FA16C0"/>
    <w:rsid w:val="00FA1B86"/>
    <w:rsid w:val="00FA2053"/>
    <w:rsid w:val="00FA2087"/>
    <w:rsid w:val="00FA21ED"/>
    <w:rsid w:val="00FA2EC8"/>
    <w:rsid w:val="00FA2F08"/>
    <w:rsid w:val="00FA31D7"/>
    <w:rsid w:val="00FA3CB0"/>
    <w:rsid w:val="00FA4075"/>
    <w:rsid w:val="00FA4CF0"/>
    <w:rsid w:val="00FA59BB"/>
    <w:rsid w:val="00FA64EE"/>
    <w:rsid w:val="00FA6704"/>
    <w:rsid w:val="00FA7367"/>
    <w:rsid w:val="00FA74EB"/>
    <w:rsid w:val="00FA74FE"/>
    <w:rsid w:val="00FA76AC"/>
    <w:rsid w:val="00FA78C4"/>
    <w:rsid w:val="00FB0251"/>
    <w:rsid w:val="00FB0A30"/>
    <w:rsid w:val="00FB0A62"/>
    <w:rsid w:val="00FB1047"/>
    <w:rsid w:val="00FB1359"/>
    <w:rsid w:val="00FB194B"/>
    <w:rsid w:val="00FB1A6E"/>
    <w:rsid w:val="00FB1F37"/>
    <w:rsid w:val="00FB2069"/>
    <w:rsid w:val="00FB25A7"/>
    <w:rsid w:val="00FB2685"/>
    <w:rsid w:val="00FB29D5"/>
    <w:rsid w:val="00FB2E31"/>
    <w:rsid w:val="00FB3A9E"/>
    <w:rsid w:val="00FB402D"/>
    <w:rsid w:val="00FB419C"/>
    <w:rsid w:val="00FB4780"/>
    <w:rsid w:val="00FB4E50"/>
    <w:rsid w:val="00FB5849"/>
    <w:rsid w:val="00FB5C14"/>
    <w:rsid w:val="00FB5FB4"/>
    <w:rsid w:val="00FB6E10"/>
    <w:rsid w:val="00FB6FAE"/>
    <w:rsid w:val="00FB712D"/>
    <w:rsid w:val="00FB7335"/>
    <w:rsid w:val="00FB75FD"/>
    <w:rsid w:val="00FB7E55"/>
    <w:rsid w:val="00FC014D"/>
    <w:rsid w:val="00FC01F4"/>
    <w:rsid w:val="00FC0A8E"/>
    <w:rsid w:val="00FC0EB8"/>
    <w:rsid w:val="00FC0EE1"/>
    <w:rsid w:val="00FC1386"/>
    <w:rsid w:val="00FC1CC6"/>
    <w:rsid w:val="00FC20A5"/>
    <w:rsid w:val="00FC23A4"/>
    <w:rsid w:val="00FC2424"/>
    <w:rsid w:val="00FC2FEF"/>
    <w:rsid w:val="00FC30B5"/>
    <w:rsid w:val="00FC3360"/>
    <w:rsid w:val="00FC3B5D"/>
    <w:rsid w:val="00FC47F0"/>
    <w:rsid w:val="00FC480E"/>
    <w:rsid w:val="00FC4847"/>
    <w:rsid w:val="00FC4EED"/>
    <w:rsid w:val="00FC53FE"/>
    <w:rsid w:val="00FC5478"/>
    <w:rsid w:val="00FC5F4A"/>
    <w:rsid w:val="00FC63B2"/>
    <w:rsid w:val="00FC65AE"/>
    <w:rsid w:val="00FC6836"/>
    <w:rsid w:val="00FC7604"/>
    <w:rsid w:val="00FC783F"/>
    <w:rsid w:val="00FC7964"/>
    <w:rsid w:val="00FC7B2E"/>
    <w:rsid w:val="00FC7F6B"/>
    <w:rsid w:val="00FD04F0"/>
    <w:rsid w:val="00FD05E9"/>
    <w:rsid w:val="00FD0649"/>
    <w:rsid w:val="00FD06AD"/>
    <w:rsid w:val="00FD07DC"/>
    <w:rsid w:val="00FD0A57"/>
    <w:rsid w:val="00FD11C2"/>
    <w:rsid w:val="00FD158D"/>
    <w:rsid w:val="00FD1CE4"/>
    <w:rsid w:val="00FD266F"/>
    <w:rsid w:val="00FD27EC"/>
    <w:rsid w:val="00FD2B0A"/>
    <w:rsid w:val="00FD2B32"/>
    <w:rsid w:val="00FD42C9"/>
    <w:rsid w:val="00FD4321"/>
    <w:rsid w:val="00FD433B"/>
    <w:rsid w:val="00FD4738"/>
    <w:rsid w:val="00FD485A"/>
    <w:rsid w:val="00FD4F7F"/>
    <w:rsid w:val="00FD5753"/>
    <w:rsid w:val="00FD5B3F"/>
    <w:rsid w:val="00FD5BE0"/>
    <w:rsid w:val="00FD5FE5"/>
    <w:rsid w:val="00FD63D5"/>
    <w:rsid w:val="00FD6417"/>
    <w:rsid w:val="00FD654C"/>
    <w:rsid w:val="00FD6F68"/>
    <w:rsid w:val="00FD7190"/>
    <w:rsid w:val="00FD79D5"/>
    <w:rsid w:val="00FD79DA"/>
    <w:rsid w:val="00FD7E73"/>
    <w:rsid w:val="00FE0928"/>
    <w:rsid w:val="00FE10BF"/>
    <w:rsid w:val="00FE155A"/>
    <w:rsid w:val="00FE1667"/>
    <w:rsid w:val="00FE19D1"/>
    <w:rsid w:val="00FE1BA2"/>
    <w:rsid w:val="00FE229E"/>
    <w:rsid w:val="00FE2D9C"/>
    <w:rsid w:val="00FE2DC1"/>
    <w:rsid w:val="00FE335E"/>
    <w:rsid w:val="00FE3F5A"/>
    <w:rsid w:val="00FE454A"/>
    <w:rsid w:val="00FE45D4"/>
    <w:rsid w:val="00FE53B5"/>
    <w:rsid w:val="00FE5860"/>
    <w:rsid w:val="00FE588C"/>
    <w:rsid w:val="00FE63A8"/>
    <w:rsid w:val="00FE66D0"/>
    <w:rsid w:val="00FE66D3"/>
    <w:rsid w:val="00FE7545"/>
    <w:rsid w:val="00FE773D"/>
    <w:rsid w:val="00FE7A86"/>
    <w:rsid w:val="00FF01C4"/>
    <w:rsid w:val="00FF02E2"/>
    <w:rsid w:val="00FF0684"/>
    <w:rsid w:val="00FF0CA0"/>
    <w:rsid w:val="00FF0F0E"/>
    <w:rsid w:val="00FF117B"/>
    <w:rsid w:val="00FF11EF"/>
    <w:rsid w:val="00FF247B"/>
    <w:rsid w:val="00FF2538"/>
    <w:rsid w:val="00FF2701"/>
    <w:rsid w:val="00FF2BEB"/>
    <w:rsid w:val="00FF2E67"/>
    <w:rsid w:val="00FF2FBB"/>
    <w:rsid w:val="00FF3032"/>
    <w:rsid w:val="00FF3409"/>
    <w:rsid w:val="00FF3977"/>
    <w:rsid w:val="00FF4232"/>
    <w:rsid w:val="00FF575E"/>
    <w:rsid w:val="00FF5DA6"/>
    <w:rsid w:val="00FF645A"/>
    <w:rsid w:val="00FF7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9704B9"/>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11F"/>
    <w:pPr>
      <w:spacing w:line="480" w:lineRule="auto"/>
      <w:ind w:firstLine="720"/>
      <w:jc w:val="both"/>
    </w:pPr>
    <w:rPr>
      <w:rFonts w:ascii="Times New Roman" w:hAnsi="Times New Roman" w:cs="Times New Roman"/>
    </w:rPr>
  </w:style>
  <w:style w:type="paragraph" w:styleId="Heading1">
    <w:name w:val="heading 1"/>
    <w:basedOn w:val="Normal"/>
    <w:link w:val="Heading1Char"/>
    <w:uiPriority w:val="9"/>
    <w:qFormat/>
    <w:rsid w:val="007E69E3"/>
    <w:pPr>
      <w:spacing w:before="400" w:after="160"/>
      <w:ind w:firstLine="0"/>
      <w:jc w:val="center"/>
      <w:outlineLvl w:val="0"/>
    </w:pPr>
    <w:rPr>
      <w:b/>
      <w:bCs/>
      <w:kern w:val="36"/>
      <w:szCs w:val="48"/>
    </w:rPr>
  </w:style>
  <w:style w:type="paragraph" w:styleId="Heading2">
    <w:name w:val="heading 2"/>
    <w:basedOn w:val="Normal"/>
    <w:next w:val="Normal"/>
    <w:link w:val="Heading2Char"/>
    <w:uiPriority w:val="9"/>
    <w:unhideWhenUsed/>
    <w:qFormat/>
    <w:rsid w:val="00FB6E10"/>
    <w:pPr>
      <w:keepNext/>
      <w:keepLines/>
      <w:spacing w:before="400" w:after="160"/>
      <w:ind w:firstLine="0"/>
      <w:jc w:val="left"/>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06C61"/>
    <w:rPr>
      <w:rFonts w:asciiTheme="minorHAnsi" w:hAnsiTheme="minorHAnsi" w:cstheme="minorBidi"/>
    </w:rPr>
  </w:style>
  <w:style w:type="character" w:customStyle="1" w:styleId="FootnoteTextChar">
    <w:name w:val="Footnote Text Char"/>
    <w:basedOn w:val="DefaultParagraphFont"/>
    <w:link w:val="FootnoteText"/>
    <w:uiPriority w:val="99"/>
    <w:rsid w:val="00E06C61"/>
  </w:style>
  <w:style w:type="character" w:styleId="FootnoteReference">
    <w:name w:val="footnote reference"/>
    <w:basedOn w:val="DefaultParagraphFont"/>
    <w:uiPriority w:val="99"/>
    <w:unhideWhenUsed/>
    <w:rsid w:val="00E06C61"/>
    <w:rPr>
      <w:vertAlign w:val="superscript"/>
    </w:rPr>
  </w:style>
  <w:style w:type="paragraph" w:styleId="ListParagraph">
    <w:name w:val="List Paragraph"/>
    <w:basedOn w:val="Normal"/>
    <w:uiPriority w:val="34"/>
    <w:qFormat/>
    <w:rsid w:val="000E3823"/>
    <w:pPr>
      <w:ind w:left="720"/>
      <w:contextualSpacing/>
    </w:pPr>
    <w:rPr>
      <w:rFonts w:asciiTheme="minorHAnsi" w:hAnsiTheme="minorHAnsi" w:cstheme="minorBidi"/>
    </w:rPr>
  </w:style>
  <w:style w:type="character" w:styleId="PlaceholderText">
    <w:name w:val="Placeholder Text"/>
    <w:basedOn w:val="DefaultParagraphFont"/>
    <w:uiPriority w:val="99"/>
    <w:semiHidden/>
    <w:rsid w:val="00DE6139"/>
    <w:rPr>
      <w:color w:val="808080"/>
    </w:rPr>
  </w:style>
  <w:style w:type="paragraph" w:styleId="BalloonText">
    <w:name w:val="Balloon Text"/>
    <w:basedOn w:val="Normal"/>
    <w:link w:val="BalloonTextChar"/>
    <w:uiPriority w:val="99"/>
    <w:semiHidden/>
    <w:unhideWhenUsed/>
    <w:rsid w:val="00DE6139"/>
    <w:rPr>
      <w:rFonts w:ascii="Lucida Grande" w:hAnsi="Lucida Grande" w:cstheme="minorBidi"/>
      <w:sz w:val="18"/>
      <w:szCs w:val="18"/>
    </w:rPr>
  </w:style>
  <w:style w:type="character" w:customStyle="1" w:styleId="BalloonTextChar">
    <w:name w:val="Balloon Text Char"/>
    <w:basedOn w:val="DefaultParagraphFont"/>
    <w:link w:val="BalloonText"/>
    <w:uiPriority w:val="99"/>
    <w:semiHidden/>
    <w:rsid w:val="00DE6139"/>
    <w:rPr>
      <w:rFonts w:ascii="Lucida Grande" w:hAnsi="Lucida Grande"/>
      <w:sz w:val="18"/>
      <w:szCs w:val="18"/>
    </w:rPr>
  </w:style>
  <w:style w:type="paragraph" w:styleId="Footer">
    <w:name w:val="footer"/>
    <w:basedOn w:val="Normal"/>
    <w:link w:val="FooterChar"/>
    <w:uiPriority w:val="99"/>
    <w:unhideWhenUsed/>
    <w:rsid w:val="00E1011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E1011B"/>
  </w:style>
  <w:style w:type="character" w:styleId="PageNumber">
    <w:name w:val="page number"/>
    <w:basedOn w:val="DefaultParagraphFont"/>
    <w:uiPriority w:val="99"/>
    <w:semiHidden/>
    <w:unhideWhenUsed/>
    <w:rsid w:val="00E1011B"/>
  </w:style>
  <w:style w:type="paragraph" w:styleId="Header">
    <w:name w:val="header"/>
    <w:basedOn w:val="Normal"/>
    <w:link w:val="HeaderChar"/>
    <w:uiPriority w:val="99"/>
    <w:unhideWhenUsed/>
    <w:rsid w:val="00377EB9"/>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377EB9"/>
  </w:style>
  <w:style w:type="paragraph" w:customStyle="1" w:styleId="Default">
    <w:name w:val="Default"/>
    <w:rsid w:val="0003754F"/>
    <w:pPr>
      <w:autoSpaceDE w:val="0"/>
      <w:autoSpaceDN w:val="0"/>
      <w:adjustRightInd w:val="0"/>
    </w:pPr>
    <w:rPr>
      <w:rFonts w:ascii="Courier Std" w:eastAsia="Calibri" w:hAnsi="Courier Std" w:cs="Courier Std"/>
      <w:color w:val="000000"/>
    </w:rPr>
  </w:style>
  <w:style w:type="character" w:styleId="CommentReference">
    <w:name w:val="annotation reference"/>
    <w:basedOn w:val="DefaultParagraphFont"/>
    <w:uiPriority w:val="99"/>
    <w:semiHidden/>
    <w:unhideWhenUsed/>
    <w:rsid w:val="00905B87"/>
    <w:rPr>
      <w:sz w:val="18"/>
      <w:szCs w:val="18"/>
    </w:rPr>
  </w:style>
  <w:style w:type="paragraph" w:styleId="CommentText">
    <w:name w:val="annotation text"/>
    <w:basedOn w:val="Normal"/>
    <w:link w:val="CommentTextChar"/>
    <w:uiPriority w:val="99"/>
    <w:unhideWhenUsed/>
    <w:rsid w:val="00905B87"/>
    <w:rPr>
      <w:rFonts w:asciiTheme="minorHAnsi" w:hAnsiTheme="minorHAnsi" w:cstheme="minorBidi"/>
    </w:rPr>
  </w:style>
  <w:style w:type="character" w:customStyle="1" w:styleId="CommentTextChar">
    <w:name w:val="Comment Text Char"/>
    <w:basedOn w:val="DefaultParagraphFont"/>
    <w:link w:val="CommentText"/>
    <w:uiPriority w:val="99"/>
    <w:rsid w:val="00905B87"/>
  </w:style>
  <w:style w:type="paragraph" w:styleId="CommentSubject">
    <w:name w:val="annotation subject"/>
    <w:basedOn w:val="CommentText"/>
    <w:next w:val="CommentText"/>
    <w:link w:val="CommentSubjectChar"/>
    <w:uiPriority w:val="99"/>
    <w:semiHidden/>
    <w:unhideWhenUsed/>
    <w:rsid w:val="00905B87"/>
    <w:rPr>
      <w:b/>
      <w:bCs/>
      <w:szCs w:val="20"/>
    </w:rPr>
  </w:style>
  <w:style w:type="character" w:customStyle="1" w:styleId="CommentSubjectChar">
    <w:name w:val="Comment Subject Char"/>
    <w:basedOn w:val="CommentTextChar"/>
    <w:link w:val="CommentSubject"/>
    <w:uiPriority w:val="99"/>
    <w:semiHidden/>
    <w:rsid w:val="00905B87"/>
    <w:rPr>
      <w:b/>
      <w:bCs/>
      <w:sz w:val="20"/>
      <w:szCs w:val="20"/>
    </w:rPr>
  </w:style>
  <w:style w:type="character" w:styleId="Hyperlink">
    <w:name w:val="Hyperlink"/>
    <w:basedOn w:val="DefaultParagraphFont"/>
    <w:uiPriority w:val="99"/>
    <w:unhideWhenUsed/>
    <w:rsid w:val="00630C13"/>
    <w:rPr>
      <w:color w:val="0000FF"/>
      <w:u w:val="single"/>
    </w:rPr>
  </w:style>
  <w:style w:type="character" w:styleId="Strong">
    <w:name w:val="Strong"/>
    <w:basedOn w:val="DefaultParagraphFont"/>
    <w:uiPriority w:val="22"/>
    <w:qFormat/>
    <w:rsid w:val="007427F7"/>
    <w:rPr>
      <w:b/>
      <w:bCs/>
    </w:rPr>
  </w:style>
  <w:style w:type="paragraph" w:styleId="Revision">
    <w:name w:val="Revision"/>
    <w:hidden/>
    <w:uiPriority w:val="99"/>
    <w:semiHidden/>
    <w:rsid w:val="00E56FC0"/>
  </w:style>
  <w:style w:type="character" w:customStyle="1" w:styleId="skimlinks-unlinked">
    <w:name w:val="skimlinks-unlinked"/>
    <w:basedOn w:val="DefaultParagraphFont"/>
    <w:rsid w:val="00221532"/>
  </w:style>
  <w:style w:type="character" w:customStyle="1" w:styleId="Heading1Char">
    <w:name w:val="Heading 1 Char"/>
    <w:basedOn w:val="DefaultParagraphFont"/>
    <w:link w:val="Heading1"/>
    <w:uiPriority w:val="9"/>
    <w:rsid w:val="007E69E3"/>
    <w:rPr>
      <w:rFonts w:ascii="Times New Roman" w:hAnsi="Times New Roman" w:cs="Times New Roman"/>
      <w:b/>
      <w:bCs/>
      <w:kern w:val="36"/>
      <w:szCs w:val="48"/>
    </w:rPr>
  </w:style>
  <w:style w:type="character" w:customStyle="1" w:styleId="fn">
    <w:name w:val="fn"/>
    <w:basedOn w:val="DefaultParagraphFont"/>
    <w:rsid w:val="007E7452"/>
  </w:style>
  <w:style w:type="character" w:customStyle="1" w:styleId="subtitle1">
    <w:name w:val="subtitle1"/>
    <w:basedOn w:val="DefaultParagraphFont"/>
    <w:rsid w:val="007E7452"/>
  </w:style>
  <w:style w:type="character" w:styleId="Emphasis">
    <w:name w:val="Emphasis"/>
    <w:basedOn w:val="DefaultParagraphFont"/>
    <w:uiPriority w:val="20"/>
    <w:qFormat/>
    <w:rsid w:val="00265C38"/>
    <w:rPr>
      <w:i/>
      <w:iCs/>
    </w:rPr>
  </w:style>
  <w:style w:type="character" w:styleId="FollowedHyperlink">
    <w:name w:val="FollowedHyperlink"/>
    <w:basedOn w:val="DefaultParagraphFont"/>
    <w:uiPriority w:val="99"/>
    <w:semiHidden/>
    <w:unhideWhenUsed/>
    <w:rsid w:val="005A3644"/>
    <w:rPr>
      <w:color w:val="800080" w:themeColor="followedHyperlink"/>
      <w:u w:val="single"/>
    </w:rPr>
  </w:style>
  <w:style w:type="paragraph" w:styleId="DocumentMap">
    <w:name w:val="Document Map"/>
    <w:basedOn w:val="Normal"/>
    <w:link w:val="DocumentMapChar"/>
    <w:uiPriority w:val="99"/>
    <w:semiHidden/>
    <w:unhideWhenUsed/>
    <w:rsid w:val="00693DB0"/>
  </w:style>
  <w:style w:type="character" w:customStyle="1" w:styleId="DocumentMapChar">
    <w:name w:val="Document Map Char"/>
    <w:basedOn w:val="DefaultParagraphFont"/>
    <w:link w:val="DocumentMap"/>
    <w:uiPriority w:val="99"/>
    <w:semiHidden/>
    <w:rsid w:val="00693DB0"/>
    <w:rPr>
      <w:rFonts w:ascii="Times New Roman" w:hAnsi="Times New Roman" w:cs="Times New Roman"/>
    </w:rPr>
  </w:style>
  <w:style w:type="paragraph" w:styleId="NormalWeb">
    <w:name w:val="Normal (Web)"/>
    <w:basedOn w:val="Normal"/>
    <w:uiPriority w:val="99"/>
    <w:unhideWhenUsed/>
    <w:rsid w:val="000A34A4"/>
    <w:pPr>
      <w:spacing w:before="100" w:beforeAutospacing="1" w:after="100" w:afterAutospacing="1"/>
    </w:pPr>
  </w:style>
  <w:style w:type="paragraph" w:styleId="EndnoteText">
    <w:name w:val="endnote text"/>
    <w:basedOn w:val="Normal"/>
    <w:link w:val="EndnoteTextChar"/>
    <w:uiPriority w:val="99"/>
    <w:unhideWhenUsed/>
    <w:rsid w:val="008B27AA"/>
  </w:style>
  <w:style w:type="character" w:customStyle="1" w:styleId="EndnoteTextChar">
    <w:name w:val="Endnote Text Char"/>
    <w:basedOn w:val="DefaultParagraphFont"/>
    <w:link w:val="EndnoteText"/>
    <w:uiPriority w:val="99"/>
    <w:rsid w:val="008B27AA"/>
    <w:rPr>
      <w:rFonts w:ascii="Times New Roman" w:hAnsi="Times New Roman" w:cs="Times New Roman"/>
    </w:rPr>
  </w:style>
  <w:style w:type="character" w:styleId="EndnoteReference">
    <w:name w:val="endnote reference"/>
    <w:basedOn w:val="DefaultParagraphFont"/>
    <w:uiPriority w:val="99"/>
    <w:unhideWhenUsed/>
    <w:rsid w:val="008B27AA"/>
    <w:rPr>
      <w:vertAlign w:val="superscript"/>
    </w:rPr>
  </w:style>
  <w:style w:type="paragraph" w:styleId="Caption">
    <w:name w:val="caption"/>
    <w:basedOn w:val="Normal"/>
    <w:next w:val="Normal"/>
    <w:uiPriority w:val="35"/>
    <w:unhideWhenUsed/>
    <w:qFormat/>
    <w:rsid w:val="00B673E0"/>
    <w:pPr>
      <w:jc w:val="right"/>
    </w:pPr>
    <w:rPr>
      <w:iCs/>
      <w:color w:val="000000" w:themeColor="text1"/>
      <w:szCs w:val="18"/>
    </w:rPr>
  </w:style>
  <w:style w:type="character" w:customStyle="1" w:styleId="Heading2Char">
    <w:name w:val="Heading 2 Char"/>
    <w:basedOn w:val="DefaultParagraphFont"/>
    <w:link w:val="Heading2"/>
    <w:uiPriority w:val="9"/>
    <w:rsid w:val="00FB6E10"/>
    <w:rPr>
      <w:rFonts w:ascii="Times New Roman" w:eastAsiaTheme="majorEastAsia" w:hAnsi="Times New Roman" w:cstheme="majorBidi"/>
      <w:szCs w:val="26"/>
      <w:u w:val="single"/>
    </w:rPr>
  </w:style>
  <w:style w:type="table" w:customStyle="1" w:styleId="TableGrid1">
    <w:name w:val="Table Grid1"/>
    <w:basedOn w:val="TableNormal"/>
    <w:next w:val="TableGrid"/>
    <w:uiPriority w:val="39"/>
    <w:rsid w:val="00CF30B5"/>
    <w:rPr>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F3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rsid w:val="007E236D"/>
    <w:rPr>
      <w:color w:val="605E5C"/>
      <w:shd w:val="clear" w:color="auto" w:fill="E1DFDD"/>
    </w:rPr>
  </w:style>
  <w:style w:type="character" w:customStyle="1" w:styleId="il">
    <w:name w:val="il"/>
    <w:basedOn w:val="DefaultParagraphFont"/>
    <w:rsid w:val="00D079CC"/>
  </w:style>
  <w:style w:type="character" w:customStyle="1" w:styleId="im">
    <w:name w:val="im"/>
    <w:basedOn w:val="DefaultParagraphFont"/>
    <w:rsid w:val="00920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269">
      <w:bodyDiv w:val="1"/>
      <w:marLeft w:val="0"/>
      <w:marRight w:val="0"/>
      <w:marTop w:val="0"/>
      <w:marBottom w:val="0"/>
      <w:divBdr>
        <w:top w:val="none" w:sz="0" w:space="0" w:color="auto"/>
        <w:left w:val="none" w:sz="0" w:space="0" w:color="auto"/>
        <w:bottom w:val="none" w:sz="0" w:space="0" w:color="auto"/>
        <w:right w:val="none" w:sz="0" w:space="0" w:color="auto"/>
      </w:divBdr>
    </w:div>
    <w:div w:id="56169874">
      <w:bodyDiv w:val="1"/>
      <w:marLeft w:val="0"/>
      <w:marRight w:val="0"/>
      <w:marTop w:val="0"/>
      <w:marBottom w:val="0"/>
      <w:divBdr>
        <w:top w:val="none" w:sz="0" w:space="0" w:color="auto"/>
        <w:left w:val="none" w:sz="0" w:space="0" w:color="auto"/>
        <w:bottom w:val="none" w:sz="0" w:space="0" w:color="auto"/>
        <w:right w:val="none" w:sz="0" w:space="0" w:color="auto"/>
      </w:divBdr>
    </w:div>
    <w:div w:id="69666496">
      <w:bodyDiv w:val="1"/>
      <w:marLeft w:val="0"/>
      <w:marRight w:val="0"/>
      <w:marTop w:val="0"/>
      <w:marBottom w:val="0"/>
      <w:divBdr>
        <w:top w:val="none" w:sz="0" w:space="0" w:color="auto"/>
        <w:left w:val="none" w:sz="0" w:space="0" w:color="auto"/>
        <w:bottom w:val="none" w:sz="0" w:space="0" w:color="auto"/>
        <w:right w:val="none" w:sz="0" w:space="0" w:color="auto"/>
      </w:divBdr>
    </w:div>
    <w:div w:id="79371348">
      <w:bodyDiv w:val="1"/>
      <w:marLeft w:val="0"/>
      <w:marRight w:val="0"/>
      <w:marTop w:val="0"/>
      <w:marBottom w:val="0"/>
      <w:divBdr>
        <w:top w:val="none" w:sz="0" w:space="0" w:color="auto"/>
        <w:left w:val="none" w:sz="0" w:space="0" w:color="auto"/>
        <w:bottom w:val="none" w:sz="0" w:space="0" w:color="auto"/>
        <w:right w:val="none" w:sz="0" w:space="0" w:color="auto"/>
      </w:divBdr>
    </w:div>
    <w:div w:id="228006784">
      <w:bodyDiv w:val="1"/>
      <w:marLeft w:val="0"/>
      <w:marRight w:val="0"/>
      <w:marTop w:val="0"/>
      <w:marBottom w:val="0"/>
      <w:divBdr>
        <w:top w:val="none" w:sz="0" w:space="0" w:color="auto"/>
        <w:left w:val="none" w:sz="0" w:space="0" w:color="auto"/>
        <w:bottom w:val="none" w:sz="0" w:space="0" w:color="auto"/>
        <w:right w:val="none" w:sz="0" w:space="0" w:color="auto"/>
      </w:divBdr>
    </w:div>
    <w:div w:id="231086664">
      <w:bodyDiv w:val="1"/>
      <w:marLeft w:val="0"/>
      <w:marRight w:val="0"/>
      <w:marTop w:val="0"/>
      <w:marBottom w:val="0"/>
      <w:divBdr>
        <w:top w:val="none" w:sz="0" w:space="0" w:color="auto"/>
        <w:left w:val="none" w:sz="0" w:space="0" w:color="auto"/>
        <w:bottom w:val="none" w:sz="0" w:space="0" w:color="auto"/>
        <w:right w:val="none" w:sz="0" w:space="0" w:color="auto"/>
      </w:divBdr>
    </w:div>
    <w:div w:id="251815434">
      <w:bodyDiv w:val="1"/>
      <w:marLeft w:val="0"/>
      <w:marRight w:val="0"/>
      <w:marTop w:val="0"/>
      <w:marBottom w:val="0"/>
      <w:divBdr>
        <w:top w:val="none" w:sz="0" w:space="0" w:color="auto"/>
        <w:left w:val="none" w:sz="0" w:space="0" w:color="auto"/>
        <w:bottom w:val="none" w:sz="0" w:space="0" w:color="auto"/>
        <w:right w:val="none" w:sz="0" w:space="0" w:color="auto"/>
      </w:divBdr>
    </w:div>
    <w:div w:id="252129107">
      <w:bodyDiv w:val="1"/>
      <w:marLeft w:val="0"/>
      <w:marRight w:val="0"/>
      <w:marTop w:val="0"/>
      <w:marBottom w:val="0"/>
      <w:divBdr>
        <w:top w:val="none" w:sz="0" w:space="0" w:color="auto"/>
        <w:left w:val="none" w:sz="0" w:space="0" w:color="auto"/>
        <w:bottom w:val="none" w:sz="0" w:space="0" w:color="auto"/>
        <w:right w:val="none" w:sz="0" w:space="0" w:color="auto"/>
      </w:divBdr>
    </w:div>
    <w:div w:id="265817662">
      <w:bodyDiv w:val="1"/>
      <w:marLeft w:val="0"/>
      <w:marRight w:val="0"/>
      <w:marTop w:val="0"/>
      <w:marBottom w:val="0"/>
      <w:divBdr>
        <w:top w:val="none" w:sz="0" w:space="0" w:color="auto"/>
        <w:left w:val="none" w:sz="0" w:space="0" w:color="auto"/>
        <w:bottom w:val="none" w:sz="0" w:space="0" w:color="auto"/>
        <w:right w:val="none" w:sz="0" w:space="0" w:color="auto"/>
      </w:divBdr>
    </w:div>
    <w:div w:id="270087286">
      <w:bodyDiv w:val="1"/>
      <w:marLeft w:val="0"/>
      <w:marRight w:val="0"/>
      <w:marTop w:val="0"/>
      <w:marBottom w:val="0"/>
      <w:divBdr>
        <w:top w:val="none" w:sz="0" w:space="0" w:color="auto"/>
        <w:left w:val="none" w:sz="0" w:space="0" w:color="auto"/>
        <w:bottom w:val="none" w:sz="0" w:space="0" w:color="auto"/>
        <w:right w:val="none" w:sz="0" w:space="0" w:color="auto"/>
      </w:divBdr>
    </w:div>
    <w:div w:id="299187361">
      <w:bodyDiv w:val="1"/>
      <w:marLeft w:val="0"/>
      <w:marRight w:val="0"/>
      <w:marTop w:val="0"/>
      <w:marBottom w:val="0"/>
      <w:divBdr>
        <w:top w:val="none" w:sz="0" w:space="0" w:color="auto"/>
        <w:left w:val="none" w:sz="0" w:space="0" w:color="auto"/>
        <w:bottom w:val="none" w:sz="0" w:space="0" w:color="auto"/>
        <w:right w:val="none" w:sz="0" w:space="0" w:color="auto"/>
      </w:divBdr>
    </w:div>
    <w:div w:id="304507300">
      <w:bodyDiv w:val="1"/>
      <w:marLeft w:val="0"/>
      <w:marRight w:val="0"/>
      <w:marTop w:val="0"/>
      <w:marBottom w:val="0"/>
      <w:divBdr>
        <w:top w:val="none" w:sz="0" w:space="0" w:color="auto"/>
        <w:left w:val="none" w:sz="0" w:space="0" w:color="auto"/>
        <w:bottom w:val="none" w:sz="0" w:space="0" w:color="auto"/>
        <w:right w:val="none" w:sz="0" w:space="0" w:color="auto"/>
      </w:divBdr>
      <w:divsChild>
        <w:div w:id="1740513114">
          <w:marLeft w:val="0"/>
          <w:marRight w:val="0"/>
          <w:marTop w:val="0"/>
          <w:marBottom w:val="0"/>
          <w:divBdr>
            <w:top w:val="none" w:sz="0" w:space="0" w:color="auto"/>
            <w:left w:val="none" w:sz="0" w:space="0" w:color="auto"/>
            <w:bottom w:val="none" w:sz="0" w:space="0" w:color="auto"/>
            <w:right w:val="none" w:sz="0" w:space="0" w:color="auto"/>
          </w:divBdr>
        </w:div>
        <w:div w:id="1312558242">
          <w:marLeft w:val="0"/>
          <w:marRight w:val="0"/>
          <w:marTop w:val="0"/>
          <w:marBottom w:val="0"/>
          <w:divBdr>
            <w:top w:val="none" w:sz="0" w:space="0" w:color="auto"/>
            <w:left w:val="none" w:sz="0" w:space="0" w:color="auto"/>
            <w:bottom w:val="none" w:sz="0" w:space="0" w:color="auto"/>
            <w:right w:val="none" w:sz="0" w:space="0" w:color="auto"/>
          </w:divBdr>
        </w:div>
        <w:div w:id="884634663">
          <w:marLeft w:val="0"/>
          <w:marRight w:val="0"/>
          <w:marTop w:val="0"/>
          <w:marBottom w:val="0"/>
          <w:divBdr>
            <w:top w:val="none" w:sz="0" w:space="0" w:color="auto"/>
            <w:left w:val="none" w:sz="0" w:space="0" w:color="auto"/>
            <w:bottom w:val="none" w:sz="0" w:space="0" w:color="auto"/>
            <w:right w:val="none" w:sz="0" w:space="0" w:color="auto"/>
          </w:divBdr>
        </w:div>
        <w:div w:id="957184166">
          <w:marLeft w:val="0"/>
          <w:marRight w:val="0"/>
          <w:marTop w:val="0"/>
          <w:marBottom w:val="0"/>
          <w:divBdr>
            <w:top w:val="none" w:sz="0" w:space="0" w:color="auto"/>
            <w:left w:val="none" w:sz="0" w:space="0" w:color="auto"/>
            <w:bottom w:val="none" w:sz="0" w:space="0" w:color="auto"/>
            <w:right w:val="none" w:sz="0" w:space="0" w:color="auto"/>
          </w:divBdr>
        </w:div>
      </w:divsChild>
    </w:div>
    <w:div w:id="395251390">
      <w:bodyDiv w:val="1"/>
      <w:marLeft w:val="0"/>
      <w:marRight w:val="0"/>
      <w:marTop w:val="0"/>
      <w:marBottom w:val="0"/>
      <w:divBdr>
        <w:top w:val="none" w:sz="0" w:space="0" w:color="auto"/>
        <w:left w:val="none" w:sz="0" w:space="0" w:color="auto"/>
        <w:bottom w:val="none" w:sz="0" w:space="0" w:color="auto"/>
        <w:right w:val="none" w:sz="0" w:space="0" w:color="auto"/>
      </w:divBdr>
    </w:div>
    <w:div w:id="426266098">
      <w:bodyDiv w:val="1"/>
      <w:marLeft w:val="0"/>
      <w:marRight w:val="0"/>
      <w:marTop w:val="0"/>
      <w:marBottom w:val="0"/>
      <w:divBdr>
        <w:top w:val="none" w:sz="0" w:space="0" w:color="auto"/>
        <w:left w:val="none" w:sz="0" w:space="0" w:color="auto"/>
        <w:bottom w:val="none" w:sz="0" w:space="0" w:color="auto"/>
        <w:right w:val="none" w:sz="0" w:space="0" w:color="auto"/>
      </w:divBdr>
    </w:div>
    <w:div w:id="521742085">
      <w:bodyDiv w:val="1"/>
      <w:marLeft w:val="0"/>
      <w:marRight w:val="0"/>
      <w:marTop w:val="0"/>
      <w:marBottom w:val="0"/>
      <w:divBdr>
        <w:top w:val="none" w:sz="0" w:space="0" w:color="auto"/>
        <w:left w:val="none" w:sz="0" w:space="0" w:color="auto"/>
        <w:bottom w:val="none" w:sz="0" w:space="0" w:color="auto"/>
        <w:right w:val="none" w:sz="0" w:space="0" w:color="auto"/>
      </w:divBdr>
    </w:div>
    <w:div w:id="522983032">
      <w:bodyDiv w:val="1"/>
      <w:marLeft w:val="0"/>
      <w:marRight w:val="0"/>
      <w:marTop w:val="0"/>
      <w:marBottom w:val="0"/>
      <w:divBdr>
        <w:top w:val="none" w:sz="0" w:space="0" w:color="auto"/>
        <w:left w:val="none" w:sz="0" w:space="0" w:color="auto"/>
        <w:bottom w:val="none" w:sz="0" w:space="0" w:color="auto"/>
        <w:right w:val="none" w:sz="0" w:space="0" w:color="auto"/>
      </w:divBdr>
    </w:div>
    <w:div w:id="546724476">
      <w:bodyDiv w:val="1"/>
      <w:marLeft w:val="0"/>
      <w:marRight w:val="0"/>
      <w:marTop w:val="0"/>
      <w:marBottom w:val="0"/>
      <w:divBdr>
        <w:top w:val="none" w:sz="0" w:space="0" w:color="auto"/>
        <w:left w:val="none" w:sz="0" w:space="0" w:color="auto"/>
        <w:bottom w:val="none" w:sz="0" w:space="0" w:color="auto"/>
        <w:right w:val="none" w:sz="0" w:space="0" w:color="auto"/>
      </w:divBdr>
    </w:div>
    <w:div w:id="610167734">
      <w:bodyDiv w:val="1"/>
      <w:marLeft w:val="0"/>
      <w:marRight w:val="0"/>
      <w:marTop w:val="0"/>
      <w:marBottom w:val="0"/>
      <w:divBdr>
        <w:top w:val="none" w:sz="0" w:space="0" w:color="auto"/>
        <w:left w:val="none" w:sz="0" w:space="0" w:color="auto"/>
        <w:bottom w:val="none" w:sz="0" w:space="0" w:color="auto"/>
        <w:right w:val="none" w:sz="0" w:space="0" w:color="auto"/>
      </w:divBdr>
    </w:div>
    <w:div w:id="614219481">
      <w:bodyDiv w:val="1"/>
      <w:marLeft w:val="0"/>
      <w:marRight w:val="0"/>
      <w:marTop w:val="0"/>
      <w:marBottom w:val="0"/>
      <w:divBdr>
        <w:top w:val="none" w:sz="0" w:space="0" w:color="auto"/>
        <w:left w:val="none" w:sz="0" w:space="0" w:color="auto"/>
        <w:bottom w:val="none" w:sz="0" w:space="0" w:color="auto"/>
        <w:right w:val="none" w:sz="0" w:space="0" w:color="auto"/>
      </w:divBdr>
    </w:div>
    <w:div w:id="625937677">
      <w:bodyDiv w:val="1"/>
      <w:marLeft w:val="0"/>
      <w:marRight w:val="0"/>
      <w:marTop w:val="0"/>
      <w:marBottom w:val="0"/>
      <w:divBdr>
        <w:top w:val="none" w:sz="0" w:space="0" w:color="auto"/>
        <w:left w:val="none" w:sz="0" w:space="0" w:color="auto"/>
        <w:bottom w:val="none" w:sz="0" w:space="0" w:color="auto"/>
        <w:right w:val="none" w:sz="0" w:space="0" w:color="auto"/>
      </w:divBdr>
    </w:div>
    <w:div w:id="731463039">
      <w:bodyDiv w:val="1"/>
      <w:marLeft w:val="0"/>
      <w:marRight w:val="0"/>
      <w:marTop w:val="0"/>
      <w:marBottom w:val="0"/>
      <w:divBdr>
        <w:top w:val="none" w:sz="0" w:space="0" w:color="auto"/>
        <w:left w:val="none" w:sz="0" w:space="0" w:color="auto"/>
        <w:bottom w:val="none" w:sz="0" w:space="0" w:color="auto"/>
        <w:right w:val="none" w:sz="0" w:space="0" w:color="auto"/>
      </w:divBdr>
      <w:divsChild>
        <w:div w:id="1522551641">
          <w:marLeft w:val="0"/>
          <w:marRight w:val="0"/>
          <w:marTop w:val="0"/>
          <w:marBottom w:val="0"/>
          <w:divBdr>
            <w:top w:val="none" w:sz="0" w:space="0" w:color="auto"/>
            <w:left w:val="none" w:sz="0" w:space="0" w:color="auto"/>
            <w:bottom w:val="none" w:sz="0" w:space="0" w:color="auto"/>
            <w:right w:val="none" w:sz="0" w:space="0" w:color="auto"/>
          </w:divBdr>
          <w:divsChild>
            <w:div w:id="647785845">
              <w:marLeft w:val="0"/>
              <w:marRight w:val="0"/>
              <w:marTop w:val="0"/>
              <w:marBottom w:val="0"/>
              <w:divBdr>
                <w:top w:val="none" w:sz="0" w:space="0" w:color="auto"/>
                <w:left w:val="none" w:sz="0" w:space="0" w:color="auto"/>
                <w:bottom w:val="none" w:sz="0" w:space="0" w:color="auto"/>
                <w:right w:val="none" w:sz="0" w:space="0" w:color="auto"/>
              </w:divBdr>
              <w:divsChild>
                <w:div w:id="230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55976">
      <w:bodyDiv w:val="1"/>
      <w:marLeft w:val="0"/>
      <w:marRight w:val="0"/>
      <w:marTop w:val="0"/>
      <w:marBottom w:val="0"/>
      <w:divBdr>
        <w:top w:val="none" w:sz="0" w:space="0" w:color="auto"/>
        <w:left w:val="none" w:sz="0" w:space="0" w:color="auto"/>
        <w:bottom w:val="none" w:sz="0" w:space="0" w:color="auto"/>
        <w:right w:val="none" w:sz="0" w:space="0" w:color="auto"/>
      </w:divBdr>
    </w:div>
    <w:div w:id="883254519">
      <w:bodyDiv w:val="1"/>
      <w:marLeft w:val="0"/>
      <w:marRight w:val="0"/>
      <w:marTop w:val="0"/>
      <w:marBottom w:val="0"/>
      <w:divBdr>
        <w:top w:val="none" w:sz="0" w:space="0" w:color="auto"/>
        <w:left w:val="none" w:sz="0" w:space="0" w:color="auto"/>
        <w:bottom w:val="none" w:sz="0" w:space="0" w:color="auto"/>
        <w:right w:val="none" w:sz="0" w:space="0" w:color="auto"/>
      </w:divBdr>
      <w:divsChild>
        <w:div w:id="1465076189">
          <w:marLeft w:val="0"/>
          <w:marRight w:val="0"/>
          <w:marTop w:val="0"/>
          <w:marBottom w:val="0"/>
          <w:divBdr>
            <w:top w:val="none" w:sz="0" w:space="0" w:color="auto"/>
            <w:left w:val="none" w:sz="0" w:space="0" w:color="auto"/>
            <w:bottom w:val="none" w:sz="0" w:space="0" w:color="auto"/>
            <w:right w:val="none" w:sz="0" w:space="0" w:color="auto"/>
          </w:divBdr>
        </w:div>
        <w:div w:id="1089694728">
          <w:marLeft w:val="0"/>
          <w:marRight w:val="0"/>
          <w:marTop w:val="0"/>
          <w:marBottom w:val="0"/>
          <w:divBdr>
            <w:top w:val="none" w:sz="0" w:space="0" w:color="auto"/>
            <w:left w:val="none" w:sz="0" w:space="0" w:color="auto"/>
            <w:bottom w:val="none" w:sz="0" w:space="0" w:color="auto"/>
            <w:right w:val="none" w:sz="0" w:space="0" w:color="auto"/>
          </w:divBdr>
        </w:div>
        <w:div w:id="444230588">
          <w:marLeft w:val="0"/>
          <w:marRight w:val="0"/>
          <w:marTop w:val="0"/>
          <w:marBottom w:val="0"/>
          <w:divBdr>
            <w:top w:val="none" w:sz="0" w:space="0" w:color="auto"/>
            <w:left w:val="none" w:sz="0" w:space="0" w:color="auto"/>
            <w:bottom w:val="none" w:sz="0" w:space="0" w:color="auto"/>
            <w:right w:val="none" w:sz="0" w:space="0" w:color="auto"/>
          </w:divBdr>
        </w:div>
      </w:divsChild>
    </w:div>
    <w:div w:id="922839439">
      <w:bodyDiv w:val="1"/>
      <w:marLeft w:val="0"/>
      <w:marRight w:val="0"/>
      <w:marTop w:val="0"/>
      <w:marBottom w:val="0"/>
      <w:divBdr>
        <w:top w:val="none" w:sz="0" w:space="0" w:color="auto"/>
        <w:left w:val="none" w:sz="0" w:space="0" w:color="auto"/>
        <w:bottom w:val="none" w:sz="0" w:space="0" w:color="auto"/>
        <w:right w:val="none" w:sz="0" w:space="0" w:color="auto"/>
      </w:divBdr>
    </w:div>
    <w:div w:id="999233488">
      <w:bodyDiv w:val="1"/>
      <w:marLeft w:val="0"/>
      <w:marRight w:val="0"/>
      <w:marTop w:val="0"/>
      <w:marBottom w:val="0"/>
      <w:divBdr>
        <w:top w:val="none" w:sz="0" w:space="0" w:color="auto"/>
        <w:left w:val="none" w:sz="0" w:space="0" w:color="auto"/>
        <w:bottom w:val="none" w:sz="0" w:space="0" w:color="auto"/>
        <w:right w:val="none" w:sz="0" w:space="0" w:color="auto"/>
      </w:divBdr>
    </w:div>
    <w:div w:id="1011447528">
      <w:bodyDiv w:val="1"/>
      <w:marLeft w:val="0"/>
      <w:marRight w:val="0"/>
      <w:marTop w:val="0"/>
      <w:marBottom w:val="0"/>
      <w:divBdr>
        <w:top w:val="none" w:sz="0" w:space="0" w:color="auto"/>
        <w:left w:val="none" w:sz="0" w:space="0" w:color="auto"/>
        <w:bottom w:val="none" w:sz="0" w:space="0" w:color="auto"/>
        <w:right w:val="none" w:sz="0" w:space="0" w:color="auto"/>
      </w:divBdr>
    </w:div>
    <w:div w:id="1038816383">
      <w:bodyDiv w:val="1"/>
      <w:marLeft w:val="0"/>
      <w:marRight w:val="0"/>
      <w:marTop w:val="0"/>
      <w:marBottom w:val="0"/>
      <w:divBdr>
        <w:top w:val="none" w:sz="0" w:space="0" w:color="auto"/>
        <w:left w:val="none" w:sz="0" w:space="0" w:color="auto"/>
        <w:bottom w:val="none" w:sz="0" w:space="0" w:color="auto"/>
        <w:right w:val="none" w:sz="0" w:space="0" w:color="auto"/>
      </w:divBdr>
    </w:div>
    <w:div w:id="1059475220">
      <w:bodyDiv w:val="1"/>
      <w:marLeft w:val="0"/>
      <w:marRight w:val="0"/>
      <w:marTop w:val="0"/>
      <w:marBottom w:val="0"/>
      <w:divBdr>
        <w:top w:val="none" w:sz="0" w:space="0" w:color="auto"/>
        <w:left w:val="none" w:sz="0" w:space="0" w:color="auto"/>
        <w:bottom w:val="none" w:sz="0" w:space="0" w:color="auto"/>
        <w:right w:val="none" w:sz="0" w:space="0" w:color="auto"/>
      </w:divBdr>
    </w:div>
    <w:div w:id="1149395918">
      <w:bodyDiv w:val="1"/>
      <w:marLeft w:val="0"/>
      <w:marRight w:val="0"/>
      <w:marTop w:val="0"/>
      <w:marBottom w:val="0"/>
      <w:divBdr>
        <w:top w:val="none" w:sz="0" w:space="0" w:color="auto"/>
        <w:left w:val="none" w:sz="0" w:space="0" w:color="auto"/>
        <w:bottom w:val="none" w:sz="0" w:space="0" w:color="auto"/>
        <w:right w:val="none" w:sz="0" w:space="0" w:color="auto"/>
      </w:divBdr>
      <w:divsChild>
        <w:div w:id="714306362">
          <w:marLeft w:val="0"/>
          <w:marRight w:val="0"/>
          <w:marTop w:val="0"/>
          <w:marBottom w:val="0"/>
          <w:divBdr>
            <w:top w:val="none" w:sz="0" w:space="0" w:color="auto"/>
            <w:left w:val="none" w:sz="0" w:space="0" w:color="auto"/>
            <w:bottom w:val="none" w:sz="0" w:space="0" w:color="auto"/>
            <w:right w:val="none" w:sz="0" w:space="0" w:color="auto"/>
          </w:divBdr>
        </w:div>
        <w:div w:id="647824409">
          <w:marLeft w:val="0"/>
          <w:marRight w:val="0"/>
          <w:marTop w:val="0"/>
          <w:marBottom w:val="0"/>
          <w:divBdr>
            <w:top w:val="none" w:sz="0" w:space="0" w:color="auto"/>
            <w:left w:val="none" w:sz="0" w:space="0" w:color="auto"/>
            <w:bottom w:val="none" w:sz="0" w:space="0" w:color="auto"/>
            <w:right w:val="none" w:sz="0" w:space="0" w:color="auto"/>
          </w:divBdr>
        </w:div>
        <w:div w:id="745110943">
          <w:marLeft w:val="0"/>
          <w:marRight w:val="0"/>
          <w:marTop w:val="0"/>
          <w:marBottom w:val="0"/>
          <w:divBdr>
            <w:top w:val="none" w:sz="0" w:space="0" w:color="auto"/>
            <w:left w:val="none" w:sz="0" w:space="0" w:color="auto"/>
            <w:bottom w:val="none" w:sz="0" w:space="0" w:color="auto"/>
            <w:right w:val="none" w:sz="0" w:space="0" w:color="auto"/>
          </w:divBdr>
        </w:div>
        <w:div w:id="1535387682">
          <w:marLeft w:val="0"/>
          <w:marRight w:val="0"/>
          <w:marTop w:val="0"/>
          <w:marBottom w:val="0"/>
          <w:divBdr>
            <w:top w:val="none" w:sz="0" w:space="0" w:color="auto"/>
            <w:left w:val="none" w:sz="0" w:space="0" w:color="auto"/>
            <w:bottom w:val="none" w:sz="0" w:space="0" w:color="auto"/>
            <w:right w:val="none" w:sz="0" w:space="0" w:color="auto"/>
          </w:divBdr>
        </w:div>
        <w:div w:id="712775865">
          <w:marLeft w:val="0"/>
          <w:marRight w:val="0"/>
          <w:marTop w:val="0"/>
          <w:marBottom w:val="0"/>
          <w:divBdr>
            <w:top w:val="none" w:sz="0" w:space="0" w:color="auto"/>
            <w:left w:val="none" w:sz="0" w:space="0" w:color="auto"/>
            <w:bottom w:val="none" w:sz="0" w:space="0" w:color="auto"/>
            <w:right w:val="none" w:sz="0" w:space="0" w:color="auto"/>
          </w:divBdr>
        </w:div>
        <w:div w:id="2054379938">
          <w:marLeft w:val="0"/>
          <w:marRight w:val="0"/>
          <w:marTop w:val="0"/>
          <w:marBottom w:val="0"/>
          <w:divBdr>
            <w:top w:val="none" w:sz="0" w:space="0" w:color="auto"/>
            <w:left w:val="none" w:sz="0" w:space="0" w:color="auto"/>
            <w:bottom w:val="none" w:sz="0" w:space="0" w:color="auto"/>
            <w:right w:val="none" w:sz="0" w:space="0" w:color="auto"/>
          </w:divBdr>
        </w:div>
      </w:divsChild>
    </w:div>
    <w:div w:id="1157459149">
      <w:bodyDiv w:val="1"/>
      <w:marLeft w:val="0"/>
      <w:marRight w:val="0"/>
      <w:marTop w:val="0"/>
      <w:marBottom w:val="0"/>
      <w:divBdr>
        <w:top w:val="none" w:sz="0" w:space="0" w:color="auto"/>
        <w:left w:val="none" w:sz="0" w:space="0" w:color="auto"/>
        <w:bottom w:val="none" w:sz="0" w:space="0" w:color="auto"/>
        <w:right w:val="none" w:sz="0" w:space="0" w:color="auto"/>
      </w:divBdr>
    </w:div>
    <w:div w:id="1181236141">
      <w:bodyDiv w:val="1"/>
      <w:marLeft w:val="0"/>
      <w:marRight w:val="0"/>
      <w:marTop w:val="0"/>
      <w:marBottom w:val="0"/>
      <w:divBdr>
        <w:top w:val="none" w:sz="0" w:space="0" w:color="auto"/>
        <w:left w:val="none" w:sz="0" w:space="0" w:color="auto"/>
        <w:bottom w:val="none" w:sz="0" w:space="0" w:color="auto"/>
        <w:right w:val="none" w:sz="0" w:space="0" w:color="auto"/>
      </w:divBdr>
    </w:div>
    <w:div w:id="1201699048">
      <w:bodyDiv w:val="1"/>
      <w:marLeft w:val="0"/>
      <w:marRight w:val="0"/>
      <w:marTop w:val="0"/>
      <w:marBottom w:val="0"/>
      <w:divBdr>
        <w:top w:val="none" w:sz="0" w:space="0" w:color="auto"/>
        <w:left w:val="none" w:sz="0" w:space="0" w:color="auto"/>
        <w:bottom w:val="none" w:sz="0" w:space="0" w:color="auto"/>
        <w:right w:val="none" w:sz="0" w:space="0" w:color="auto"/>
      </w:divBdr>
    </w:div>
    <w:div w:id="1263491668">
      <w:bodyDiv w:val="1"/>
      <w:marLeft w:val="0"/>
      <w:marRight w:val="0"/>
      <w:marTop w:val="0"/>
      <w:marBottom w:val="0"/>
      <w:divBdr>
        <w:top w:val="none" w:sz="0" w:space="0" w:color="auto"/>
        <w:left w:val="none" w:sz="0" w:space="0" w:color="auto"/>
        <w:bottom w:val="none" w:sz="0" w:space="0" w:color="auto"/>
        <w:right w:val="none" w:sz="0" w:space="0" w:color="auto"/>
      </w:divBdr>
    </w:div>
    <w:div w:id="1314800780">
      <w:bodyDiv w:val="1"/>
      <w:marLeft w:val="0"/>
      <w:marRight w:val="0"/>
      <w:marTop w:val="0"/>
      <w:marBottom w:val="0"/>
      <w:divBdr>
        <w:top w:val="none" w:sz="0" w:space="0" w:color="auto"/>
        <w:left w:val="none" w:sz="0" w:space="0" w:color="auto"/>
        <w:bottom w:val="none" w:sz="0" w:space="0" w:color="auto"/>
        <w:right w:val="none" w:sz="0" w:space="0" w:color="auto"/>
      </w:divBdr>
    </w:div>
    <w:div w:id="1317954663">
      <w:bodyDiv w:val="1"/>
      <w:marLeft w:val="0"/>
      <w:marRight w:val="0"/>
      <w:marTop w:val="0"/>
      <w:marBottom w:val="0"/>
      <w:divBdr>
        <w:top w:val="none" w:sz="0" w:space="0" w:color="auto"/>
        <w:left w:val="none" w:sz="0" w:space="0" w:color="auto"/>
        <w:bottom w:val="none" w:sz="0" w:space="0" w:color="auto"/>
        <w:right w:val="none" w:sz="0" w:space="0" w:color="auto"/>
      </w:divBdr>
    </w:div>
    <w:div w:id="1324970582">
      <w:bodyDiv w:val="1"/>
      <w:marLeft w:val="0"/>
      <w:marRight w:val="0"/>
      <w:marTop w:val="0"/>
      <w:marBottom w:val="0"/>
      <w:divBdr>
        <w:top w:val="none" w:sz="0" w:space="0" w:color="auto"/>
        <w:left w:val="none" w:sz="0" w:space="0" w:color="auto"/>
        <w:bottom w:val="none" w:sz="0" w:space="0" w:color="auto"/>
        <w:right w:val="none" w:sz="0" w:space="0" w:color="auto"/>
      </w:divBdr>
      <w:divsChild>
        <w:div w:id="1370305368">
          <w:marLeft w:val="0"/>
          <w:marRight w:val="0"/>
          <w:marTop w:val="0"/>
          <w:marBottom w:val="0"/>
          <w:divBdr>
            <w:top w:val="none" w:sz="0" w:space="0" w:color="auto"/>
            <w:left w:val="none" w:sz="0" w:space="0" w:color="auto"/>
            <w:bottom w:val="none" w:sz="0" w:space="0" w:color="auto"/>
            <w:right w:val="none" w:sz="0" w:space="0" w:color="auto"/>
          </w:divBdr>
        </w:div>
        <w:div w:id="1241791334">
          <w:marLeft w:val="0"/>
          <w:marRight w:val="0"/>
          <w:marTop w:val="0"/>
          <w:marBottom w:val="0"/>
          <w:divBdr>
            <w:top w:val="none" w:sz="0" w:space="0" w:color="auto"/>
            <w:left w:val="none" w:sz="0" w:space="0" w:color="auto"/>
            <w:bottom w:val="none" w:sz="0" w:space="0" w:color="auto"/>
            <w:right w:val="none" w:sz="0" w:space="0" w:color="auto"/>
          </w:divBdr>
        </w:div>
      </w:divsChild>
    </w:div>
    <w:div w:id="1330408111">
      <w:bodyDiv w:val="1"/>
      <w:marLeft w:val="0"/>
      <w:marRight w:val="0"/>
      <w:marTop w:val="0"/>
      <w:marBottom w:val="0"/>
      <w:divBdr>
        <w:top w:val="none" w:sz="0" w:space="0" w:color="auto"/>
        <w:left w:val="none" w:sz="0" w:space="0" w:color="auto"/>
        <w:bottom w:val="none" w:sz="0" w:space="0" w:color="auto"/>
        <w:right w:val="none" w:sz="0" w:space="0" w:color="auto"/>
      </w:divBdr>
    </w:div>
    <w:div w:id="1362975098">
      <w:bodyDiv w:val="1"/>
      <w:marLeft w:val="0"/>
      <w:marRight w:val="0"/>
      <w:marTop w:val="0"/>
      <w:marBottom w:val="0"/>
      <w:divBdr>
        <w:top w:val="none" w:sz="0" w:space="0" w:color="auto"/>
        <w:left w:val="none" w:sz="0" w:space="0" w:color="auto"/>
        <w:bottom w:val="none" w:sz="0" w:space="0" w:color="auto"/>
        <w:right w:val="none" w:sz="0" w:space="0" w:color="auto"/>
      </w:divBdr>
      <w:divsChild>
        <w:div w:id="1730687909">
          <w:marLeft w:val="0"/>
          <w:marRight w:val="0"/>
          <w:marTop w:val="0"/>
          <w:marBottom w:val="0"/>
          <w:divBdr>
            <w:top w:val="none" w:sz="0" w:space="0" w:color="auto"/>
            <w:left w:val="none" w:sz="0" w:space="0" w:color="auto"/>
            <w:bottom w:val="none" w:sz="0" w:space="0" w:color="auto"/>
            <w:right w:val="none" w:sz="0" w:space="0" w:color="auto"/>
          </w:divBdr>
          <w:divsChild>
            <w:div w:id="17413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4949">
      <w:bodyDiv w:val="1"/>
      <w:marLeft w:val="0"/>
      <w:marRight w:val="0"/>
      <w:marTop w:val="0"/>
      <w:marBottom w:val="0"/>
      <w:divBdr>
        <w:top w:val="none" w:sz="0" w:space="0" w:color="auto"/>
        <w:left w:val="none" w:sz="0" w:space="0" w:color="auto"/>
        <w:bottom w:val="none" w:sz="0" w:space="0" w:color="auto"/>
        <w:right w:val="none" w:sz="0" w:space="0" w:color="auto"/>
      </w:divBdr>
    </w:div>
    <w:div w:id="1441953251">
      <w:bodyDiv w:val="1"/>
      <w:marLeft w:val="0"/>
      <w:marRight w:val="0"/>
      <w:marTop w:val="0"/>
      <w:marBottom w:val="0"/>
      <w:divBdr>
        <w:top w:val="none" w:sz="0" w:space="0" w:color="auto"/>
        <w:left w:val="none" w:sz="0" w:space="0" w:color="auto"/>
        <w:bottom w:val="none" w:sz="0" w:space="0" w:color="auto"/>
        <w:right w:val="none" w:sz="0" w:space="0" w:color="auto"/>
      </w:divBdr>
    </w:div>
    <w:div w:id="1442533943">
      <w:bodyDiv w:val="1"/>
      <w:marLeft w:val="0"/>
      <w:marRight w:val="0"/>
      <w:marTop w:val="0"/>
      <w:marBottom w:val="0"/>
      <w:divBdr>
        <w:top w:val="none" w:sz="0" w:space="0" w:color="auto"/>
        <w:left w:val="none" w:sz="0" w:space="0" w:color="auto"/>
        <w:bottom w:val="none" w:sz="0" w:space="0" w:color="auto"/>
        <w:right w:val="none" w:sz="0" w:space="0" w:color="auto"/>
      </w:divBdr>
      <w:divsChild>
        <w:div w:id="1587958570">
          <w:marLeft w:val="0"/>
          <w:marRight w:val="0"/>
          <w:marTop w:val="0"/>
          <w:marBottom w:val="0"/>
          <w:divBdr>
            <w:top w:val="none" w:sz="0" w:space="0" w:color="auto"/>
            <w:left w:val="none" w:sz="0" w:space="0" w:color="auto"/>
            <w:bottom w:val="none" w:sz="0" w:space="0" w:color="auto"/>
            <w:right w:val="none" w:sz="0" w:space="0" w:color="auto"/>
          </w:divBdr>
        </w:div>
        <w:div w:id="460539114">
          <w:marLeft w:val="0"/>
          <w:marRight w:val="0"/>
          <w:marTop w:val="0"/>
          <w:marBottom w:val="0"/>
          <w:divBdr>
            <w:top w:val="none" w:sz="0" w:space="0" w:color="auto"/>
            <w:left w:val="none" w:sz="0" w:space="0" w:color="auto"/>
            <w:bottom w:val="none" w:sz="0" w:space="0" w:color="auto"/>
            <w:right w:val="none" w:sz="0" w:space="0" w:color="auto"/>
          </w:divBdr>
        </w:div>
        <w:div w:id="1441801965">
          <w:marLeft w:val="0"/>
          <w:marRight w:val="0"/>
          <w:marTop w:val="0"/>
          <w:marBottom w:val="0"/>
          <w:divBdr>
            <w:top w:val="none" w:sz="0" w:space="0" w:color="auto"/>
            <w:left w:val="none" w:sz="0" w:space="0" w:color="auto"/>
            <w:bottom w:val="none" w:sz="0" w:space="0" w:color="auto"/>
            <w:right w:val="none" w:sz="0" w:space="0" w:color="auto"/>
          </w:divBdr>
        </w:div>
        <w:div w:id="1648586412">
          <w:marLeft w:val="0"/>
          <w:marRight w:val="0"/>
          <w:marTop w:val="0"/>
          <w:marBottom w:val="0"/>
          <w:divBdr>
            <w:top w:val="none" w:sz="0" w:space="0" w:color="auto"/>
            <w:left w:val="none" w:sz="0" w:space="0" w:color="auto"/>
            <w:bottom w:val="none" w:sz="0" w:space="0" w:color="auto"/>
            <w:right w:val="none" w:sz="0" w:space="0" w:color="auto"/>
          </w:divBdr>
        </w:div>
      </w:divsChild>
    </w:div>
    <w:div w:id="1511724124">
      <w:bodyDiv w:val="1"/>
      <w:marLeft w:val="0"/>
      <w:marRight w:val="0"/>
      <w:marTop w:val="0"/>
      <w:marBottom w:val="0"/>
      <w:divBdr>
        <w:top w:val="none" w:sz="0" w:space="0" w:color="auto"/>
        <w:left w:val="none" w:sz="0" w:space="0" w:color="auto"/>
        <w:bottom w:val="none" w:sz="0" w:space="0" w:color="auto"/>
        <w:right w:val="none" w:sz="0" w:space="0" w:color="auto"/>
      </w:divBdr>
    </w:div>
    <w:div w:id="1568416071">
      <w:bodyDiv w:val="1"/>
      <w:marLeft w:val="0"/>
      <w:marRight w:val="0"/>
      <w:marTop w:val="0"/>
      <w:marBottom w:val="0"/>
      <w:divBdr>
        <w:top w:val="none" w:sz="0" w:space="0" w:color="auto"/>
        <w:left w:val="none" w:sz="0" w:space="0" w:color="auto"/>
        <w:bottom w:val="none" w:sz="0" w:space="0" w:color="auto"/>
        <w:right w:val="none" w:sz="0" w:space="0" w:color="auto"/>
      </w:divBdr>
    </w:div>
    <w:div w:id="1584758481">
      <w:bodyDiv w:val="1"/>
      <w:marLeft w:val="0"/>
      <w:marRight w:val="0"/>
      <w:marTop w:val="0"/>
      <w:marBottom w:val="0"/>
      <w:divBdr>
        <w:top w:val="none" w:sz="0" w:space="0" w:color="auto"/>
        <w:left w:val="none" w:sz="0" w:space="0" w:color="auto"/>
        <w:bottom w:val="none" w:sz="0" w:space="0" w:color="auto"/>
        <w:right w:val="none" w:sz="0" w:space="0" w:color="auto"/>
      </w:divBdr>
    </w:div>
    <w:div w:id="1587419869">
      <w:bodyDiv w:val="1"/>
      <w:marLeft w:val="0"/>
      <w:marRight w:val="0"/>
      <w:marTop w:val="0"/>
      <w:marBottom w:val="0"/>
      <w:divBdr>
        <w:top w:val="none" w:sz="0" w:space="0" w:color="auto"/>
        <w:left w:val="none" w:sz="0" w:space="0" w:color="auto"/>
        <w:bottom w:val="none" w:sz="0" w:space="0" w:color="auto"/>
        <w:right w:val="none" w:sz="0" w:space="0" w:color="auto"/>
      </w:divBdr>
    </w:div>
    <w:div w:id="1618028245">
      <w:bodyDiv w:val="1"/>
      <w:marLeft w:val="0"/>
      <w:marRight w:val="0"/>
      <w:marTop w:val="0"/>
      <w:marBottom w:val="0"/>
      <w:divBdr>
        <w:top w:val="none" w:sz="0" w:space="0" w:color="auto"/>
        <w:left w:val="none" w:sz="0" w:space="0" w:color="auto"/>
        <w:bottom w:val="none" w:sz="0" w:space="0" w:color="auto"/>
        <w:right w:val="none" w:sz="0" w:space="0" w:color="auto"/>
      </w:divBdr>
    </w:div>
    <w:div w:id="1638102657">
      <w:bodyDiv w:val="1"/>
      <w:marLeft w:val="0"/>
      <w:marRight w:val="0"/>
      <w:marTop w:val="0"/>
      <w:marBottom w:val="0"/>
      <w:divBdr>
        <w:top w:val="none" w:sz="0" w:space="0" w:color="auto"/>
        <w:left w:val="none" w:sz="0" w:space="0" w:color="auto"/>
        <w:bottom w:val="none" w:sz="0" w:space="0" w:color="auto"/>
        <w:right w:val="none" w:sz="0" w:space="0" w:color="auto"/>
      </w:divBdr>
    </w:div>
    <w:div w:id="1652558808">
      <w:bodyDiv w:val="1"/>
      <w:marLeft w:val="0"/>
      <w:marRight w:val="0"/>
      <w:marTop w:val="0"/>
      <w:marBottom w:val="0"/>
      <w:divBdr>
        <w:top w:val="none" w:sz="0" w:space="0" w:color="auto"/>
        <w:left w:val="none" w:sz="0" w:space="0" w:color="auto"/>
        <w:bottom w:val="none" w:sz="0" w:space="0" w:color="auto"/>
        <w:right w:val="none" w:sz="0" w:space="0" w:color="auto"/>
      </w:divBdr>
    </w:div>
    <w:div w:id="1656370930">
      <w:bodyDiv w:val="1"/>
      <w:marLeft w:val="0"/>
      <w:marRight w:val="0"/>
      <w:marTop w:val="0"/>
      <w:marBottom w:val="0"/>
      <w:divBdr>
        <w:top w:val="none" w:sz="0" w:space="0" w:color="auto"/>
        <w:left w:val="none" w:sz="0" w:space="0" w:color="auto"/>
        <w:bottom w:val="none" w:sz="0" w:space="0" w:color="auto"/>
        <w:right w:val="none" w:sz="0" w:space="0" w:color="auto"/>
      </w:divBdr>
    </w:div>
    <w:div w:id="1656834410">
      <w:bodyDiv w:val="1"/>
      <w:marLeft w:val="0"/>
      <w:marRight w:val="0"/>
      <w:marTop w:val="0"/>
      <w:marBottom w:val="0"/>
      <w:divBdr>
        <w:top w:val="none" w:sz="0" w:space="0" w:color="auto"/>
        <w:left w:val="none" w:sz="0" w:space="0" w:color="auto"/>
        <w:bottom w:val="none" w:sz="0" w:space="0" w:color="auto"/>
        <w:right w:val="none" w:sz="0" w:space="0" w:color="auto"/>
      </w:divBdr>
    </w:div>
    <w:div w:id="1676611176">
      <w:bodyDiv w:val="1"/>
      <w:marLeft w:val="0"/>
      <w:marRight w:val="0"/>
      <w:marTop w:val="0"/>
      <w:marBottom w:val="0"/>
      <w:divBdr>
        <w:top w:val="none" w:sz="0" w:space="0" w:color="auto"/>
        <w:left w:val="none" w:sz="0" w:space="0" w:color="auto"/>
        <w:bottom w:val="none" w:sz="0" w:space="0" w:color="auto"/>
        <w:right w:val="none" w:sz="0" w:space="0" w:color="auto"/>
      </w:divBdr>
      <w:divsChild>
        <w:div w:id="209150570">
          <w:marLeft w:val="0"/>
          <w:marRight w:val="0"/>
          <w:marTop w:val="0"/>
          <w:marBottom w:val="0"/>
          <w:divBdr>
            <w:top w:val="none" w:sz="0" w:space="0" w:color="auto"/>
            <w:left w:val="none" w:sz="0" w:space="0" w:color="auto"/>
            <w:bottom w:val="none" w:sz="0" w:space="0" w:color="auto"/>
            <w:right w:val="none" w:sz="0" w:space="0" w:color="auto"/>
          </w:divBdr>
        </w:div>
        <w:div w:id="541021803">
          <w:marLeft w:val="0"/>
          <w:marRight w:val="0"/>
          <w:marTop w:val="0"/>
          <w:marBottom w:val="0"/>
          <w:divBdr>
            <w:top w:val="none" w:sz="0" w:space="0" w:color="auto"/>
            <w:left w:val="none" w:sz="0" w:space="0" w:color="auto"/>
            <w:bottom w:val="none" w:sz="0" w:space="0" w:color="auto"/>
            <w:right w:val="none" w:sz="0" w:space="0" w:color="auto"/>
          </w:divBdr>
        </w:div>
        <w:div w:id="2021199737">
          <w:marLeft w:val="0"/>
          <w:marRight w:val="0"/>
          <w:marTop w:val="0"/>
          <w:marBottom w:val="0"/>
          <w:divBdr>
            <w:top w:val="none" w:sz="0" w:space="0" w:color="auto"/>
            <w:left w:val="none" w:sz="0" w:space="0" w:color="auto"/>
            <w:bottom w:val="none" w:sz="0" w:space="0" w:color="auto"/>
            <w:right w:val="none" w:sz="0" w:space="0" w:color="auto"/>
          </w:divBdr>
        </w:div>
        <w:div w:id="845048555">
          <w:marLeft w:val="0"/>
          <w:marRight w:val="0"/>
          <w:marTop w:val="0"/>
          <w:marBottom w:val="0"/>
          <w:divBdr>
            <w:top w:val="none" w:sz="0" w:space="0" w:color="auto"/>
            <w:left w:val="none" w:sz="0" w:space="0" w:color="auto"/>
            <w:bottom w:val="none" w:sz="0" w:space="0" w:color="auto"/>
            <w:right w:val="none" w:sz="0" w:space="0" w:color="auto"/>
          </w:divBdr>
        </w:div>
      </w:divsChild>
    </w:div>
    <w:div w:id="1693998071">
      <w:bodyDiv w:val="1"/>
      <w:marLeft w:val="0"/>
      <w:marRight w:val="0"/>
      <w:marTop w:val="0"/>
      <w:marBottom w:val="0"/>
      <w:divBdr>
        <w:top w:val="none" w:sz="0" w:space="0" w:color="auto"/>
        <w:left w:val="none" w:sz="0" w:space="0" w:color="auto"/>
        <w:bottom w:val="none" w:sz="0" w:space="0" w:color="auto"/>
        <w:right w:val="none" w:sz="0" w:space="0" w:color="auto"/>
      </w:divBdr>
    </w:div>
    <w:div w:id="1695111274">
      <w:bodyDiv w:val="1"/>
      <w:marLeft w:val="0"/>
      <w:marRight w:val="0"/>
      <w:marTop w:val="0"/>
      <w:marBottom w:val="0"/>
      <w:divBdr>
        <w:top w:val="none" w:sz="0" w:space="0" w:color="auto"/>
        <w:left w:val="none" w:sz="0" w:space="0" w:color="auto"/>
        <w:bottom w:val="none" w:sz="0" w:space="0" w:color="auto"/>
        <w:right w:val="none" w:sz="0" w:space="0" w:color="auto"/>
      </w:divBdr>
    </w:div>
    <w:div w:id="1697081114">
      <w:bodyDiv w:val="1"/>
      <w:marLeft w:val="0"/>
      <w:marRight w:val="0"/>
      <w:marTop w:val="0"/>
      <w:marBottom w:val="0"/>
      <w:divBdr>
        <w:top w:val="none" w:sz="0" w:space="0" w:color="auto"/>
        <w:left w:val="none" w:sz="0" w:space="0" w:color="auto"/>
        <w:bottom w:val="none" w:sz="0" w:space="0" w:color="auto"/>
        <w:right w:val="none" w:sz="0" w:space="0" w:color="auto"/>
      </w:divBdr>
    </w:div>
    <w:div w:id="1705868439">
      <w:bodyDiv w:val="1"/>
      <w:marLeft w:val="0"/>
      <w:marRight w:val="0"/>
      <w:marTop w:val="0"/>
      <w:marBottom w:val="0"/>
      <w:divBdr>
        <w:top w:val="none" w:sz="0" w:space="0" w:color="auto"/>
        <w:left w:val="none" w:sz="0" w:space="0" w:color="auto"/>
        <w:bottom w:val="none" w:sz="0" w:space="0" w:color="auto"/>
        <w:right w:val="none" w:sz="0" w:space="0" w:color="auto"/>
      </w:divBdr>
    </w:div>
    <w:div w:id="1739400603">
      <w:bodyDiv w:val="1"/>
      <w:marLeft w:val="0"/>
      <w:marRight w:val="0"/>
      <w:marTop w:val="0"/>
      <w:marBottom w:val="0"/>
      <w:divBdr>
        <w:top w:val="none" w:sz="0" w:space="0" w:color="auto"/>
        <w:left w:val="none" w:sz="0" w:space="0" w:color="auto"/>
        <w:bottom w:val="none" w:sz="0" w:space="0" w:color="auto"/>
        <w:right w:val="none" w:sz="0" w:space="0" w:color="auto"/>
      </w:divBdr>
      <w:divsChild>
        <w:div w:id="336884201">
          <w:marLeft w:val="0"/>
          <w:marRight w:val="0"/>
          <w:marTop w:val="0"/>
          <w:marBottom w:val="0"/>
          <w:divBdr>
            <w:top w:val="none" w:sz="0" w:space="0" w:color="auto"/>
            <w:left w:val="none" w:sz="0" w:space="0" w:color="auto"/>
            <w:bottom w:val="none" w:sz="0" w:space="0" w:color="auto"/>
            <w:right w:val="none" w:sz="0" w:space="0" w:color="auto"/>
          </w:divBdr>
        </w:div>
        <w:div w:id="461000486">
          <w:marLeft w:val="0"/>
          <w:marRight w:val="0"/>
          <w:marTop w:val="0"/>
          <w:marBottom w:val="0"/>
          <w:divBdr>
            <w:top w:val="none" w:sz="0" w:space="0" w:color="auto"/>
            <w:left w:val="none" w:sz="0" w:space="0" w:color="auto"/>
            <w:bottom w:val="none" w:sz="0" w:space="0" w:color="auto"/>
            <w:right w:val="none" w:sz="0" w:space="0" w:color="auto"/>
          </w:divBdr>
        </w:div>
        <w:div w:id="339241793">
          <w:marLeft w:val="0"/>
          <w:marRight w:val="0"/>
          <w:marTop w:val="0"/>
          <w:marBottom w:val="0"/>
          <w:divBdr>
            <w:top w:val="none" w:sz="0" w:space="0" w:color="auto"/>
            <w:left w:val="none" w:sz="0" w:space="0" w:color="auto"/>
            <w:bottom w:val="none" w:sz="0" w:space="0" w:color="auto"/>
            <w:right w:val="none" w:sz="0" w:space="0" w:color="auto"/>
          </w:divBdr>
        </w:div>
        <w:div w:id="1307705447">
          <w:marLeft w:val="0"/>
          <w:marRight w:val="0"/>
          <w:marTop w:val="0"/>
          <w:marBottom w:val="0"/>
          <w:divBdr>
            <w:top w:val="none" w:sz="0" w:space="0" w:color="auto"/>
            <w:left w:val="none" w:sz="0" w:space="0" w:color="auto"/>
            <w:bottom w:val="none" w:sz="0" w:space="0" w:color="auto"/>
            <w:right w:val="none" w:sz="0" w:space="0" w:color="auto"/>
          </w:divBdr>
        </w:div>
        <w:div w:id="73478293">
          <w:marLeft w:val="0"/>
          <w:marRight w:val="0"/>
          <w:marTop w:val="0"/>
          <w:marBottom w:val="0"/>
          <w:divBdr>
            <w:top w:val="none" w:sz="0" w:space="0" w:color="auto"/>
            <w:left w:val="none" w:sz="0" w:space="0" w:color="auto"/>
            <w:bottom w:val="none" w:sz="0" w:space="0" w:color="auto"/>
            <w:right w:val="none" w:sz="0" w:space="0" w:color="auto"/>
          </w:divBdr>
        </w:div>
      </w:divsChild>
    </w:div>
    <w:div w:id="1779832676">
      <w:bodyDiv w:val="1"/>
      <w:marLeft w:val="0"/>
      <w:marRight w:val="0"/>
      <w:marTop w:val="0"/>
      <w:marBottom w:val="0"/>
      <w:divBdr>
        <w:top w:val="none" w:sz="0" w:space="0" w:color="auto"/>
        <w:left w:val="none" w:sz="0" w:space="0" w:color="auto"/>
        <w:bottom w:val="none" w:sz="0" w:space="0" w:color="auto"/>
        <w:right w:val="none" w:sz="0" w:space="0" w:color="auto"/>
      </w:divBdr>
    </w:div>
    <w:div w:id="1816531672">
      <w:bodyDiv w:val="1"/>
      <w:marLeft w:val="0"/>
      <w:marRight w:val="0"/>
      <w:marTop w:val="0"/>
      <w:marBottom w:val="0"/>
      <w:divBdr>
        <w:top w:val="none" w:sz="0" w:space="0" w:color="auto"/>
        <w:left w:val="none" w:sz="0" w:space="0" w:color="auto"/>
        <w:bottom w:val="none" w:sz="0" w:space="0" w:color="auto"/>
        <w:right w:val="none" w:sz="0" w:space="0" w:color="auto"/>
      </w:divBdr>
    </w:div>
    <w:div w:id="1847475998">
      <w:bodyDiv w:val="1"/>
      <w:marLeft w:val="0"/>
      <w:marRight w:val="0"/>
      <w:marTop w:val="0"/>
      <w:marBottom w:val="0"/>
      <w:divBdr>
        <w:top w:val="none" w:sz="0" w:space="0" w:color="auto"/>
        <w:left w:val="none" w:sz="0" w:space="0" w:color="auto"/>
        <w:bottom w:val="none" w:sz="0" w:space="0" w:color="auto"/>
        <w:right w:val="none" w:sz="0" w:space="0" w:color="auto"/>
      </w:divBdr>
    </w:div>
    <w:div w:id="1888058501">
      <w:bodyDiv w:val="1"/>
      <w:marLeft w:val="0"/>
      <w:marRight w:val="0"/>
      <w:marTop w:val="0"/>
      <w:marBottom w:val="0"/>
      <w:divBdr>
        <w:top w:val="none" w:sz="0" w:space="0" w:color="auto"/>
        <w:left w:val="none" w:sz="0" w:space="0" w:color="auto"/>
        <w:bottom w:val="none" w:sz="0" w:space="0" w:color="auto"/>
        <w:right w:val="none" w:sz="0" w:space="0" w:color="auto"/>
      </w:divBdr>
    </w:div>
    <w:div w:id="1907059509">
      <w:bodyDiv w:val="1"/>
      <w:marLeft w:val="0"/>
      <w:marRight w:val="0"/>
      <w:marTop w:val="0"/>
      <w:marBottom w:val="0"/>
      <w:divBdr>
        <w:top w:val="none" w:sz="0" w:space="0" w:color="auto"/>
        <w:left w:val="none" w:sz="0" w:space="0" w:color="auto"/>
        <w:bottom w:val="none" w:sz="0" w:space="0" w:color="auto"/>
        <w:right w:val="none" w:sz="0" w:space="0" w:color="auto"/>
      </w:divBdr>
    </w:div>
    <w:div w:id="1915360876">
      <w:bodyDiv w:val="1"/>
      <w:marLeft w:val="0"/>
      <w:marRight w:val="0"/>
      <w:marTop w:val="0"/>
      <w:marBottom w:val="0"/>
      <w:divBdr>
        <w:top w:val="none" w:sz="0" w:space="0" w:color="auto"/>
        <w:left w:val="none" w:sz="0" w:space="0" w:color="auto"/>
        <w:bottom w:val="none" w:sz="0" w:space="0" w:color="auto"/>
        <w:right w:val="none" w:sz="0" w:space="0" w:color="auto"/>
      </w:divBdr>
    </w:div>
    <w:div w:id="1945502551">
      <w:bodyDiv w:val="1"/>
      <w:marLeft w:val="0"/>
      <w:marRight w:val="0"/>
      <w:marTop w:val="0"/>
      <w:marBottom w:val="0"/>
      <w:divBdr>
        <w:top w:val="none" w:sz="0" w:space="0" w:color="auto"/>
        <w:left w:val="none" w:sz="0" w:space="0" w:color="auto"/>
        <w:bottom w:val="none" w:sz="0" w:space="0" w:color="auto"/>
        <w:right w:val="none" w:sz="0" w:space="0" w:color="auto"/>
      </w:divBdr>
    </w:div>
    <w:div w:id="1972902577">
      <w:bodyDiv w:val="1"/>
      <w:marLeft w:val="0"/>
      <w:marRight w:val="0"/>
      <w:marTop w:val="0"/>
      <w:marBottom w:val="0"/>
      <w:divBdr>
        <w:top w:val="none" w:sz="0" w:space="0" w:color="auto"/>
        <w:left w:val="none" w:sz="0" w:space="0" w:color="auto"/>
        <w:bottom w:val="none" w:sz="0" w:space="0" w:color="auto"/>
        <w:right w:val="none" w:sz="0" w:space="0" w:color="auto"/>
      </w:divBdr>
    </w:div>
    <w:div w:id="2010208512">
      <w:bodyDiv w:val="1"/>
      <w:marLeft w:val="0"/>
      <w:marRight w:val="0"/>
      <w:marTop w:val="0"/>
      <w:marBottom w:val="0"/>
      <w:divBdr>
        <w:top w:val="none" w:sz="0" w:space="0" w:color="auto"/>
        <w:left w:val="none" w:sz="0" w:space="0" w:color="auto"/>
        <w:bottom w:val="none" w:sz="0" w:space="0" w:color="auto"/>
        <w:right w:val="none" w:sz="0" w:space="0" w:color="auto"/>
      </w:divBdr>
    </w:div>
    <w:div w:id="2036808363">
      <w:bodyDiv w:val="1"/>
      <w:marLeft w:val="0"/>
      <w:marRight w:val="0"/>
      <w:marTop w:val="0"/>
      <w:marBottom w:val="0"/>
      <w:divBdr>
        <w:top w:val="none" w:sz="0" w:space="0" w:color="auto"/>
        <w:left w:val="none" w:sz="0" w:space="0" w:color="auto"/>
        <w:bottom w:val="none" w:sz="0" w:space="0" w:color="auto"/>
        <w:right w:val="none" w:sz="0" w:space="0" w:color="auto"/>
      </w:divBdr>
    </w:div>
    <w:div w:id="2118595335">
      <w:bodyDiv w:val="1"/>
      <w:marLeft w:val="0"/>
      <w:marRight w:val="0"/>
      <w:marTop w:val="0"/>
      <w:marBottom w:val="0"/>
      <w:divBdr>
        <w:top w:val="none" w:sz="0" w:space="0" w:color="auto"/>
        <w:left w:val="none" w:sz="0" w:space="0" w:color="auto"/>
        <w:bottom w:val="none" w:sz="0" w:space="0" w:color="auto"/>
        <w:right w:val="none" w:sz="0" w:space="0" w:color="auto"/>
      </w:divBdr>
    </w:div>
    <w:div w:id="2118673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ytimes.com/2017/08/22/opinion/fed-inflation-interest-rates-workers.html" TargetMode="External"/><Relationship Id="rId2" Type="http://schemas.openxmlformats.org/officeDocument/2006/relationships/hyperlink" Target="https://www.barrons.com/articles/is-the-fed-partly-to-blame-for-wage-stagnation-1532128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DDFD-25A2-F44C-8FB4-3F3A7170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25</Pages>
  <Words>5571</Words>
  <Characters>31755</Characters>
  <Application>Microsoft Macintosh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Swarthmore College</Company>
  <LinksUpToDate>false</LinksUpToDate>
  <CharactersWithSpaces>37252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Golub</dc:creator>
  <cp:lastModifiedBy>Microsoft Office User</cp:lastModifiedBy>
  <cp:revision>159</cp:revision>
  <cp:lastPrinted>2018-11-29T21:54:00Z</cp:lastPrinted>
  <dcterms:created xsi:type="dcterms:W3CDTF">2018-12-19T00:02:00Z</dcterms:created>
  <dcterms:modified xsi:type="dcterms:W3CDTF">2019-01-11T16:35:00Z</dcterms:modified>
</cp:coreProperties>
</file>